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45" w:rsidRDefault="00994945">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SACRAMENTO EMPLOYMENT AND TRAINING AGENCY</w:t>
      </w:r>
    </w:p>
    <w:p w:rsidR="00994945" w:rsidRDefault="00994945">
      <w:pPr>
        <w:jc w:val="center"/>
        <w:rPr>
          <w:b/>
          <w:bCs/>
          <w:sz w:val="24"/>
          <w:szCs w:val="24"/>
        </w:rPr>
      </w:pPr>
    </w:p>
    <w:p w:rsidR="00994945" w:rsidRDefault="00994945">
      <w:pPr>
        <w:jc w:val="center"/>
        <w:rPr>
          <w:sz w:val="24"/>
          <w:szCs w:val="24"/>
        </w:rPr>
      </w:pPr>
      <w:r>
        <w:rPr>
          <w:b/>
          <w:bCs/>
          <w:sz w:val="24"/>
          <w:szCs w:val="24"/>
        </w:rPr>
        <w:t>INCIDENT REPORTING POLICY &amp; PROCEDURE</w:t>
      </w:r>
    </w:p>
    <w:p w:rsidR="00994945" w:rsidRDefault="00994945">
      <w:pPr>
        <w:rPr>
          <w:sz w:val="24"/>
          <w:szCs w:val="24"/>
        </w:rPr>
      </w:pPr>
    </w:p>
    <w:p w:rsidR="00994945" w:rsidRDefault="00994945">
      <w:pPr>
        <w:jc w:val="both"/>
        <w:rPr>
          <w:sz w:val="24"/>
          <w:szCs w:val="24"/>
        </w:rPr>
      </w:pPr>
      <w:r>
        <w:rPr>
          <w:b/>
          <w:bCs/>
          <w:sz w:val="24"/>
          <w:szCs w:val="24"/>
        </w:rPr>
        <w:t>PURPOSE:</w:t>
      </w:r>
    </w:p>
    <w:p w:rsidR="00994945" w:rsidRDefault="00994945">
      <w:pPr>
        <w:jc w:val="both"/>
        <w:rPr>
          <w:sz w:val="24"/>
          <w:szCs w:val="24"/>
        </w:rPr>
      </w:pPr>
    </w:p>
    <w:p w:rsidR="00994945" w:rsidRDefault="00994945">
      <w:pPr>
        <w:jc w:val="both"/>
        <w:rPr>
          <w:sz w:val="24"/>
          <w:szCs w:val="24"/>
        </w:rPr>
      </w:pPr>
      <w:r>
        <w:rPr>
          <w:sz w:val="24"/>
          <w:szCs w:val="24"/>
        </w:rPr>
        <w:t xml:space="preserve">This policy outlines the procedure for reporting incidents, including but not limited to criminal fraud, criminal abuse or other criminal activity and noncriminal complaints, such as gross waste of funds in any program funded by the Sacramento Employment and Training Agency (SETA).  This policy applies to SETA and any of its </w:t>
      </w:r>
      <w:r>
        <w:rPr>
          <w:b/>
          <w:bCs/>
          <w:sz w:val="24"/>
          <w:szCs w:val="24"/>
        </w:rPr>
        <w:t>lower-tier subrecipients</w:t>
      </w:r>
      <w:r>
        <w:rPr>
          <w:sz w:val="24"/>
          <w:szCs w:val="24"/>
        </w:rPr>
        <w:t xml:space="preserve"> of funds.  Nothing in this procedure should preclude or discourage the reporting of criminal incidents to local authorities as well.</w:t>
      </w:r>
    </w:p>
    <w:p w:rsidR="00994945" w:rsidRDefault="00994945">
      <w:pPr>
        <w:jc w:val="both"/>
        <w:rPr>
          <w:sz w:val="24"/>
          <w:szCs w:val="24"/>
        </w:rPr>
      </w:pPr>
    </w:p>
    <w:p w:rsidR="00994945" w:rsidRDefault="00994945">
      <w:pPr>
        <w:jc w:val="both"/>
        <w:rPr>
          <w:b/>
          <w:bCs/>
          <w:sz w:val="24"/>
          <w:szCs w:val="24"/>
        </w:rPr>
      </w:pPr>
      <w:r>
        <w:rPr>
          <w:b/>
          <w:bCs/>
          <w:sz w:val="24"/>
          <w:szCs w:val="24"/>
        </w:rPr>
        <w:t>BACKGROUND:</w:t>
      </w:r>
    </w:p>
    <w:p w:rsidR="00994945" w:rsidRDefault="00994945">
      <w:pPr>
        <w:jc w:val="both"/>
        <w:rPr>
          <w:b/>
          <w:bCs/>
          <w:sz w:val="24"/>
          <w:szCs w:val="24"/>
        </w:rPr>
      </w:pPr>
    </w:p>
    <w:p w:rsidR="00994945" w:rsidRDefault="00994945">
      <w:pPr>
        <w:jc w:val="both"/>
        <w:rPr>
          <w:sz w:val="24"/>
          <w:szCs w:val="24"/>
        </w:rPr>
      </w:pPr>
      <w:r>
        <w:rPr>
          <w:sz w:val="24"/>
          <w:szCs w:val="24"/>
        </w:rPr>
        <w:t>Federal Regulations implementing the Workforce In</w:t>
      </w:r>
      <w:r w:rsidR="00797000">
        <w:rPr>
          <w:sz w:val="24"/>
          <w:szCs w:val="24"/>
        </w:rPr>
        <w:t>novation and Opportunity</w:t>
      </w:r>
      <w:r>
        <w:rPr>
          <w:sz w:val="24"/>
          <w:szCs w:val="24"/>
        </w:rPr>
        <w:t xml:space="preserve"> Act (WI</w:t>
      </w:r>
      <w:r w:rsidR="00797000">
        <w:rPr>
          <w:sz w:val="24"/>
          <w:szCs w:val="24"/>
        </w:rPr>
        <w:t>O</w:t>
      </w:r>
      <w:r>
        <w:rPr>
          <w:sz w:val="24"/>
          <w:szCs w:val="24"/>
        </w:rPr>
        <w:t xml:space="preserve">A) require that information and complaints involving criminal fraud, waste, abuse or other criminal activity must be reported immediately through the Department of Labor’s (DOL) Incident Reporting System to the Federal Office of Inspector General (OIG) with a copy simultaneously provided to the Employment </w:t>
      </w:r>
      <w:r w:rsidR="00F23C79">
        <w:rPr>
          <w:sz w:val="24"/>
          <w:szCs w:val="24"/>
        </w:rPr>
        <w:t xml:space="preserve">Training </w:t>
      </w:r>
      <w:r>
        <w:rPr>
          <w:sz w:val="24"/>
          <w:szCs w:val="24"/>
        </w:rPr>
        <w:t>Administration.  In turn, State of California, Employment Development Department</w:t>
      </w:r>
      <w:r w:rsidR="008D3A4C">
        <w:rPr>
          <w:sz w:val="24"/>
          <w:szCs w:val="24"/>
        </w:rPr>
        <w:t xml:space="preserve"> (EDD)</w:t>
      </w:r>
      <w:r w:rsidR="00797000">
        <w:rPr>
          <w:sz w:val="24"/>
          <w:szCs w:val="24"/>
        </w:rPr>
        <w:t xml:space="preserve"> Directive WSD12-18</w:t>
      </w:r>
      <w:r>
        <w:rPr>
          <w:sz w:val="24"/>
          <w:szCs w:val="24"/>
        </w:rPr>
        <w:t xml:space="preserve"> requires </w:t>
      </w:r>
      <w:r w:rsidR="00486E23">
        <w:rPr>
          <w:sz w:val="24"/>
          <w:szCs w:val="24"/>
        </w:rPr>
        <w:t xml:space="preserve">that </w:t>
      </w:r>
      <w:r>
        <w:rPr>
          <w:sz w:val="24"/>
          <w:szCs w:val="24"/>
        </w:rPr>
        <w:t>all such incident reporting be made concurrently to the EDD Compliance Review Division.  This p</w:t>
      </w:r>
      <w:r w:rsidR="00693B0C">
        <w:rPr>
          <w:sz w:val="24"/>
          <w:szCs w:val="24"/>
        </w:rPr>
        <w:t>olicy</w:t>
      </w:r>
      <w:r>
        <w:rPr>
          <w:sz w:val="24"/>
          <w:szCs w:val="24"/>
        </w:rPr>
        <w:t xml:space="preserve"> will implement the reporting requirements of DOL and EDD.  SETA receives funding not only pursuant to the WI</w:t>
      </w:r>
      <w:r w:rsidR="00797000">
        <w:rPr>
          <w:sz w:val="24"/>
          <w:szCs w:val="24"/>
        </w:rPr>
        <w:t>O</w:t>
      </w:r>
      <w:r>
        <w:rPr>
          <w:sz w:val="24"/>
          <w:szCs w:val="24"/>
        </w:rPr>
        <w:t>A, but also pursuant to other federal, state and private programs</w:t>
      </w:r>
      <w:r w:rsidR="00693B0C">
        <w:rPr>
          <w:sz w:val="24"/>
          <w:szCs w:val="24"/>
        </w:rPr>
        <w:t>.  Accordingly</w:t>
      </w:r>
      <w:r>
        <w:rPr>
          <w:sz w:val="24"/>
          <w:szCs w:val="24"/>
        </w:rPr>
        <w:t>, this p</w:t>
      </w:r>
      <w:r w:rsidR="00F23C79">
        <w:rPr>
          <w:sz w:val="24"/>
          <w:szCs w:val="24"/>
        </w:rPr>
        <w:t>olicy</w:t>
      </w:r>
      <w:r>
        <w:rPr>
          <w:sz w:val="24"/>
          <w:szCs w:val="24"/>
        </w:rPr>
        <w:t xml:space="preserve"> </w:t>
      </w:r>
      <w:r w:rsidR="00693B0C">
        <w:rPr>
          <w:sz w:val="24"/>
          <w:szCs w:val="24"/>
        </w:rPr>
        <w:t>i</w:t>
      </w:r>
      <w:r>
        <w:rPr>
          <w:sz w:val="24"/>
          <w:szCs w:val="24"/>
        </w:rPr>
        <w:t>mpl</w:t>
      </w:r>
      <w:r w:rsidR="00693B0C">
        <w:rPr>
          <w:sz w:val="24"/>
          <w:szCs w:val="24"/>
        </w:rPr>
        <w:t>e</w:t>
      </w:r>
      <w:r>
        <w:rPr>
          <w:sz w:val="24"/>
          <w:szCs w:val="24"/>
        </w:rPr>
        <w:t>ments similar reporting requirements for all SETA</w:t>
      </w:r>
      <w:r w:rsidR="00F23C79">
        <w:rPr>
          <w:sz w:val="24"/>
          <w:szCs w:val="24"/>
        </w:rPr>
        <w:t>-</w:t>
      </w:r>
      <w:r>
        <w:rPr>
          <w:sz w:val="24"/>
          <w:szCs w:val="24"/>
        </w:rPr>
        <w:t xml:space="preserve">funded </w:t>
      </w:r>
      <w:r w:rsidR="00F23C79">
        <w:rPr>
          <w:sz w:val="24"/>
          <w:szCs w:val="24"/>
        </w:rPr>
        <w:t xml:space="preserve">programs and </w:t>
      </w:r>
      <w:r>
        <w:rPr>
          <w:sz w:val="24"/>
          <w:szCs w:val="24"/>
        </w:rPr>
        <w:t>activities.</w:t>
      </w:r>
    </w:p>
    <w:p w:rsidR="00994945" w:rsidRDefault="00994945">
      <w:pPr>
        <w:jc w:val="both"/>
        <w:rPr>
          <w:sz w:val="24"/>
          <w:szCs w:val="24"/>
        </w:rPr>
      </w:pPr>
    </w:p>
    <w:p w:rsidR="00994945" w:rsidRDefault="00994945">
      <w:pPr>
        <w:jc w:val="both"/>
        <w:rPr>
          <w:b/>
          <w:bCs/>
          <w:sz w:val="24"/>
          <w:szCs w:val="24"/>
        </w:rPr>
      </w:pPr>
      <w:r>
        <w:rPr>
          <w:b/>
          <w:bCs/>
          <w:sz w:val="24"/>
          <w:szCs w:val="24"/>
        </w:rPr>
        <w:t>DEFINITIONS:</w:t>
      </w:r>
    </w:p>
    <w:p w:rsidR="00994945" w:rsidRDefault="00994945">
      <w:pPr>
        <w:jc w:val="both"/>
        <w:rPr>
          <w:b/>
          <w:bCs/>
          <w:sz w:val="24"/>
          <w:szCs w:val="24"/>
        </w:rPr>
      </w:pPr>
    </w:p>
    <w:p w:rsidR="00994945" w:rsidRDefault="00994945">
      <w:pPr>
        <w:jc w:val="both"/>
        <w:rPr>
          <w:sz w:val="24"/>
          <w:szCs w:val="24"/>
        </w:rPr>
      </w:pPr>
      <w:r>
        <w:rPr>
          <w:sz w:val="24"/>
          <w:szCs w:val="24"/>
        </w:rPr>
        <w:t xml:space="preserve">The definitions that follow are provided as a guide in the identification of </w:t>
      </w:r>
      <w:r w:rsidRPr="00693B0C">
        <w:rPr>
          <w:b/>
          <w:bCs/>
          <w:sz w:val="24"/>
          <w:szCs w:val="24"/>
        </w:rPr>
        <w:t>fraud</w:t>
      </w:r>
      <w:r>
        <w:rPr>
          <w:sz w:val="24"/>
          <w:szCs w:val="24"/>
        </w:rPr>
        <w:t>, abuse, and other criminal activity.  The words and phrases defined here are patterned after federal definitions applicable to WI</w:t>
      </w:r>
      <w:r w:rsidR="00797000">
        <w:rPr>
          <w:sz w:val="24"/>
          <w:szCs w:val="24"/>
        </w:rPr>
        <w:t>O</w:t>
      </w:r>
      <w:r>
        <w:rPr>
          <w:sz w:val="24"/>
          <w:szCs w:val="24"/>
        </w:rPr>
        <w:t xml:space="preserve">A programs, but apply to all SETA-funded programs. </w:t>
      </w:r>
      <w:r w:rsidR="00700872">
        <w:rPr>
          <w:sz w:val="24"/>
          <w:szCs w:val="24"/>
        </w:rPr>
        <w:t xml:space="preserve"> </w:t>
      </w:r>
      <w:r>
        <w:rPr>
          <w:sz w:val="24"/>
          <w:szCs w:val="24"/>
        </w:rPr>
        <w:t xml:space="preserve">Defined words appear in </w:t>
      </w:r>
      <w:r>
        <w:rPr>
          <w:b/>
          <w:bCs/>
          <w:sz w:val="24"/>
          <w:szCs w:val="24"/>
        </w:rPr>
        <w:t>bold</w:t>
      </w:r>
      <w:r>
        <w:rPr>
          <w:sz w:val="24"/>
          <w:szCs w:val="24"/>
        </w:rPr>
        <w:t xml:space="preserve"> typeface throughout this policy.  Since the definitions cannot address every possible activity, questions as to whether an activity is reportable under this policy should be referred to SETA’s </w:t>
      </w:r>
      <w:r w:rsidR="00797000">
        <w:rPr>
          <w:sz w:val="24"/>
          <w:szCs w:val="24"/>
        </w:rPr>
        <w:t>Human Resources</w:t>
      </w:r>
      <w:r>
        <w:rPr>
          <w:sz w:val="24"/>
          <w:szCs w:val="24"/>
        </w:rPr>
        <w:t xml:space="preserve"> Department Chief,  or his</w:t>
      </w:r>
      <w:r w:rsidR="00797000">
        <w:rPr>
          <w:sz w:val="24"/>
          <w:szCs w:val="24"/>
        </w:rPr>
        <w:t>/her</w:t>
      </w:r>
      <w:r>
        <w:rPr>
          <w:sz w:val="24"/>
          <w:szCs w:val="24"/>
        </w:rPr>
        <w:t xml:space="preserve"> designee, for clarification and guidance.</w:t>
      </w:r>
    </w:p>
    <w:p w:rsidR="00994945" w:rsidRDefault="00994945">
      <w:pPr>
        <w:jc w:val="both"/>
        <w:rPr>
          <w:sz w:val="24"/>
          <w:szCs w:val="24"/>
        </w:rPr>
      </w:pPr>
    </w:p>
    <w:p w:rsidR="00994945" w:rsidRDefault="00994945">
      <w:pPr>
        <w:jc w:val="both"/>
        <w:rPr>
          <w:b/>
          <w:bCs/>
          <w:sz w:val="24"/>
          <w:szCs w:val="24"/>
          <w:u w:val="single"/>
        </w:rPr>
      </w:pPr>
      <w:r>
        <w:rPr>
          <w:b/>
          <w:bCs/>
          <w:sz w:val="24"/>
          <w:szCs w:val="24"/>
          <w:u w:val="single"/>
        </w:rPr>
        <w:t xml:space="preserve">Avoidance of Conflict of Economic Interest </w:t>
      </w:r>
      <w:r>
        <w:rPr>
          <w:sz w:val="24"/>
          <w:szCs w:val="24"/>
        </w:rPr>
        <w:t xml:space="preserve">- An executive or employee of a federally-funded </w:t>
      </w:r>
      <w:r w:rsidR="00693B0C" w:rsidRPr="00693B0C">
        <w:rPr>
          <w:b/>
          <w:bCs/>
          <w:sz w:val="24"/>
          <w:szCs w:val="24"/>
        </w:rPr>
        <w:t>contract</w:t>
      </w:r>
      <w:r w:rsidR="00693B0C">
        <w:rPr>
          <w:sz w:val="24"/>
          <w:szCs w:val="24"/>
        </w:rPr>
        <w:t xml:space="preserve"> </w:t>
      </w:r>
      <w:r>
        <w:rPr>
          <w:sz w:val="24"/>
          <w:szCs w:val="24"/>
        </w:rPr>
        <w:t xml:space="preserve">or an elected official of SETA will not solicit or accept money or any other consideration from a third person for the performance of an act reimbursed in whole or in part by SETA or EDD.  Supplies, materials, equipment or services purchased with </w:t>
      </w:r>
      <w:r w:rsidRPr="00693B0C">
        <w:rPr>
          <w:b/>
          <w:bCs/>
          <w:sz w:val="24"/>
          <w:szCs w:val="24"/>
        </w:rPr>
        <w:t xml:space="preserve">contract </w:t>
      </w:r>
      <w:r>
        <w:rPr>
          <w:sz w:val="24"/>
          <w:szCs w:val="24"/>
        </w:rPr>
        <w:t>funds will be used solely for purposes allowed by the applicable federal and state law and federal, state and SETA policies applicable under the corresponding source of funds.</w:t>
      </w:r>
    </w:p>
    <w:p w:rsidR="00994945" w:rsidRDefault="00994945">
      <w:pPr>
        <w:jc w:val="both"/>
        <w:rPr>
          <w:b/>
          <w:bCs/>
          <w:sz w:val="24"/>
          <w:szCs w:val="24"/>
          <w:u w:val="single"/>
        </w:rPr>
      </w:pPr>
    </w:p>
    <w:p w:rsidR="00994945" w:rsidRDefault="00994945">
      <w:pPr>
        <w:jc w:val="both"/>
        <w:rPr>
          <w:sz w:val="24"/>
          <w:szCs w:val="24"/>
        </w:rPr>
      </w:pPr>
      <w:r>
        <w:rPr>
          <w:b/>
          <w:bCs/>
          <w:sz w:val="24"/>
          <w:szCs w:val="24"/>
          <w:u w:val="single"/>
        </w:rPr>
        <w:t xml:space="preserve">Conduct Business Involving Close Personal Friends and Associates </w:t>
      </w:r>
      <w:r>
        <w:rPr>
          <w:sz w:val="24"/>
          <w:szCs w:val="24"/>
        </w:rPr>
        <w:t xml:space="preserve">- No close personal friend or associate of any executive or employee will receive favorable treatment for enrollment in </w:t>
      </w:r>
      <w:r>
        <w:rPr>
          <w:sz w:val="24"/>
          <w:szCs w:val="24"/>
        </w:rPr>
        <w:lastRenderedPageBreak/>
        <w:t xml:space="preserve">services provided by, or employment with, </w:t>
      </w:r>
      <w:r w:rsidR="00693B0C">
        <w:rPr>
          <w:sz w:val="24"/>
          <w:szCs w:val="24"/>
        </w:rPr>
        <w:t>SETA</w:t>
      </w:r>
      <w:r>
        <w:rPr>
          <w:b/>
          <w:bCs/>
          <w:sz w:val="24"/>
          <w:szCs w:val="24"/>
        </w:rPr>
        <w:t xml:space="preserve"> </w:t>
      </w:r>
      <w:r>
        <w:rPr>
          <w:sz w:val="24"/>
          <w:szCs w:val="24"/>
        </w:rPr>
        <w:t xml:space="preserve">or </w:t>
      </w:r>
      <w:r w:rsidR="00693B0C">
        <w:rPr>
          <w:sz w:val="24"/>
          <w:szCs w:val="24"/>
        </w:rPr>
        <w:t xml:space="preserve">any </w:t>
      </w:r>
      <w:r>
        <w:rPr>
          <w:b/>
          <w:bCs/>
          <w:sz w:val="24"/>
          <w:szCs w:val="24"/>
        </w:rPr>
        <w:t>lower-tier subrecipient</w:t>
      </w:r>
      <w:r>
        <w:rPr>
          <w:sz w:val="24"/>
          <w:szCs w:val="24"/>
        </w:rPr>
        <w:t xml:space="preserve">. </w:t>
      </w:r>
    </w:p>
    <w:p w:rsidR="00994945" w:rsidRDefault="00994945">
      <w:pPr>
        <w:jc w:val="both"/>
        <w:rPr>
          <w:sz w:val="24"/>
          <w:szCs w:val="24"/>
        </w:rPr>
      </w:pPr>
    </w:p>
    <w:p w:rsidR="00994945" w:rsidRDefault="00994945">
      <w:pPr>
        <w:jc w:val="both"/>
        <w:rPr>
          <w:sz w:val="24"/>
          <w:szCs w:val="24"/>
        </w:rPr>
      </w:pPr>
      <w:r>
        <w:rPr>
          <w:b/>
          <w:bCs/>
          <w:sz w:val="24"/>
          <w:szCs w:val="24"/>
          <w:u w:val="single"/>
        </w:rPr>
        <w:t xml:space="preserve">Conducting Business Involving Relatives </w:t>
      </w:r>
      <w:r>
        <w:rPr>
          <w:sz w:val="24"/>
          <w:szCs w:val="24"/>
        </w:rPr>
        <w:t xml:space="preserve">- No relative by blood, adoption or marriage of any executive or employee will receive favorable treatment for enrollment in services provided by, or employment with, any </w:t>
      </w:r>
      <w:r>
        <w:rPr>
          <w:b/>
          <w:bCs/>
          <w:sz w:val="24"/>
          <w:szCs w:val="24"/>
        </w:rPr>
        <w:t xml:space="preserve">subrecipient </w:t>
      </w:r>
      <w:r>
        <w:rPr>
          <w:sz w:val="24"/>
          <w:szCs w:val="24"/>
        </w:rPr>
        <w:t xml:space="preserve">or </w:t>
      </w:r>
      <w:r>
        <w:rPr>
          <w:b/>
          <w:bCs/>
          <w:sz w:val="24"/>
          <w:szCs w:val="24"/>
        </w:rPr>
        <w:t>lower-tier subrecipient</w:t>
      </w:r>
      <w:r>
        <w:rPr>
          <w:sz w:val="24"/>
          <w:szCs w:val="24"/>
        </w:rPr>
        <w:t xml:space="preserve">.  For the purpose of this policy, “relative by blood or marriage” shall include: wife, husband, daughter, </w:t>
      </w:r>
      <w:r w:rsidR="00AA015B">
        <w:rPr>
          <w:sz w:val="24"/>
          <w:szCs w:val="24"/>
        </w:rPr>
        <w:t xml:space="preserve">son, </w:t>
      </w:r>
      <w:r>
        <w:rPr>
          <w:sz w:val="24"/>
          <w:szCs w:val="24"/>
        </w:rPr>
        <w:t xml:space="preserve">mother, father, </w:t>
      </w:r>
      <w:r w:rsidR="00AA015B">
        <w:rPr>
          <w:sz w:val="24"/>
          <w:szCs w:val="24"/>
        </w:rPr>
        <w:t xml:space="preserve">grandmother, grandfather, </w:t>
      </w:r>
      <w:r>
        <w:rPr>
          <w:sz w:val="24"/>
          <w:szCs w:val="24"/>
        </w:rPr>
        <w:t xml:space="preserve">sister, sister-in-law, </w:t>
      </w:r>
      <w:r w:rsidR="00AA015B">
        <w:rPr>
          <w:sz w:val="24"/>
          <w:szCs w:val="24"/>
        </w:rPr>
        <w:t xml:space="preserve">brother, brother-in-law, </w:t>
      </w:r>
      <w:r>
        <w:rPr>
          <w:sz w:val="24"/>
          <w:szCs w:val="24"/>
        </w:rPr>
        <w:t xml:space="preserve">daughter-in-law, </w:t>
      </w:r>
      <w:r w:rsidR="00AA015B">
        <w:rPr>
          <w:sz w:val="24"/>
          <w:szCs w:val="24"/>
        </w:rPr>
        <w:t xml:space="preserve">son-in-law, </w:t>
      </w:r>
      <w:r>
        <w:rPr>
          <w:sz w:val="24"/>
          <w:szCs w:val="24"/>
        </w:rPr>
        <w:t>mother-in-law, father-in-law, aunt, uncle, niece, nephew, stepparent and stepchild.</w:t>
      </w:r>
    </w:p>
    <w:p w:rsidR="00994945" w:rsidRDefault="00994945">
      <w:pPr>
        <w:jc w:val="both"/>
        <w:rPr>
          <w:sz w:val="24"/>
          <w:szCs w:val="24"/>
        </w:rPr>
      </w:pPr>
    </w:p>
    <w:p w:rsidR="00994945" w:rsidRDefault="00994945">
      <w:pPr>
        <w:jc w:val="both"/>
        <w:rPr>
          <w:sz w:val="24"/>
          <w:szCs w:val="24"/>
        </w:rPr>
      </w:pPr>
      <w:r>
        <w:rPr>
          <w:b/>
          <w:bCs/>
          <w:sz w:val="24"/>
          <w:szCs w:val="24"/>
          <w:u w:val="single"/>
        </w:rPr>
        <w:t>Contract</w:t>
      </w:r>
      <w:r>
        <w:rPr>
          <w:b/>
          <w:bCs/>
          <w:sz w:val="24"/>
          <w:szCs w:val="24"/>
        </w:rPr>
        <w:t xml:space="preserve"> </w:t>
      </w:r>
      <w:r>
        <w:rPr>
          <w:sz w:val="24"/>
          <w:szCs w:val="24"/>
        </w:rPr>
        <w:t>includes any agreement, subgrant, contract or similar authorization to provide goods or services under any SETA-funded program, whether funded by federal or state grant, contract, agreement, or otherwise.</w:t>
      </w:r>
    </w:p>
    <w:p w:rsidR="00994945" w:rsidRDefault="00994945">
      <w:pPr>
        <w:jc w:val="both"/>
        <w:rPr>
          <w:sz w:val="24"/>
          <w:szCs w:val="24"/>
        </w:rPr>
      </w:pPr>
    </w:p>
    <w:p w:rsidR="00994945" w:rsidRDefault="00994945">
      <w:pPr>
        <w:jc w:val="both"/>
        <w:rPr>
          <w:sz w:val="24"/>
          <w:szCs w:val="24"/>
        </w:rPr>
      </w:pPr>
      <w:r>
        <w:rPr>
          <w:b/>
          <w:bCs/>
          <w:sz w:val="24"/>
          <w:szCs w:val="24"/>
          <w:u w:val="single"/>
        </w:rPr>
        <w:t>Contractor</w:t>
      </w:r>
      <w:r>
        <w:rPr>
          <w:sz w:val="24"/>
          <w:szCs w:val="24"/>
        </w:rPr>
        <w:t xml:space="preserve"> includes any person or entity that receives funding from SETA as a </w:t>
      </w:r>
      <w:r>
        <w:rPr>
          <w:b/>
          <w:bCs/>
          <w:sz w:val="24"/>
          <w:szCs w:val="24"/>
        </w:rPr>
        <w:t>lower-tier subrecipient</w:t>
      </w:r>
      <w:r>
        <w:rPr>
          <w:sz w:val="24"/>
          <w:szCs w:val="24"/>
        </w:rPr>
        <w:t>.</w:t>
      </w:r>
    </w:p>
    <w:p w:rsidR="00994945" w:rsidRDefault="00994945">
      <w:pPr>
        <w:jc w:val="both"/>
        <w:rPr>
          <w:sz w:val="24"/>
          <w:szCs w:val="24"/>
        </w:rPr>
      </w:pPr>
    </w:p>
    <w:p w:rsidR="00994945" w:rsidRDefault="00994945">
      <w:pPr>
        <w:jc w:val="both"/>
        <w:rPr>
          <w:sz w:val="24"/>
          <w:szCs w:val="24"/>
        </w:rPr>
      </w:pPr>
      <w:r>
        <w:rPr>
          <w:b/>
          <w:bCs/>
          <w:sz w:val="24"/>
          <w:szCs w:val="24"/>
          <w:u w:val="single"/>
        </w:rPr>
        <w:t>Employee/Participant Misconduct</w:t>
      </w:r>
      <w:r>
        <w:rPr>
          <w:sz w:val="24"/>
          <w:szCs w:val="24"/>
        </w:rPr>
        <w:t xml:space="preserve"> is defined as actions occurring during or outside of work hours that reflect negatively on </w:t>
      </w:r>
      <w:r w:rsidR="00693B0C">
        <w:rPr>
          <w:sz w:val="24"/>
          <w:szCs w:val="24"/>
        </w:rPr>
        <w:t xml:space="preserve">SETA, a </w:t>
      </w:r>
      <w:r w:rsidR="00693B0C" w:rsidRPr="00693B0C">
        <w:rPr>
          <w:b/>
          <w:bCs/>
          <w:sz w:val="24"/>
          <w:szCs w:val="24"/>
        </w:rPr>
        <w:t>lower-tier subrecipient</w:t>
      </w:r>
      <w:r w:rsidR="00693B0C">
        <w:rPr>
          <w:sz w:val="24"/>
          <w:szCs w:val="24"/>
        </w:rPr>
        <w:t xml:space="preserve">, or any of their </w:t>
      </w:r>
      <w:r>
        <w:rPr>
          <w:sz w:val="24"/>
          <w:szCs w:val="24"/>
        </w:rPr>
        <w:t>program</w:t>
      </w:r>
      <w:r w:rsidR="00693B0C">
        <w:rPr>
          <w:sz w:val="24"/>
          <w:szCs w:val="24"/>
        </w:rPr>
        <w:t>s</w:t>
      </w:r>
      <w:r>
        <w:rPr>
          <w:sz w:val="24"/>
          <w:szCs w:val="24"/>
        </w:rPr>
        <w:t xml:space="preserve"> or  purpose</w:t>
      </w:r>
      <w:r w:rsidR="00693B0C">
        <w:rPr>
          <w:sz w:val="24"/>
          <w:szCs w:val="24"/>
        </w:rPr>
        <w:t>s</w:t>
      </w:r>
      <w:r>
        <w:rPr>
          <w:sz w:val="24"/>
          <w:szCs w:val="24"/>
        </w:rPr>
        <w:t xml:space="preserve">, and may include, but </w:t>
      </w:r>
      <w:r w:rsidR="008629CE">
        <w:rPr>
          <w:sz w:val="24"/>
          <w:szCs w:val="24"/>
        </w:rPr>
        <w:t>is</w:t>
      </w:r>
      <w:r>
        <w:rPr>
          <w:sz w:val="24"/>
          <w:szCs w:val="24"/>
        </w:rPr>
        <w:t xml:space="preserve"> not limited to: conflict of interest involving outside employment; business and professional activities; the receipt of gifts, fees, entertainment, and favors; misuse of federal, state or SETA property; misuse of official information; and other activities that might adversely affect the confidence of the public regarding the integrity of government.</w:t>
      </w:r>
    </w:p>
    <w:p w:rsidR="00994945" w:rsidRDefault="00994945">
      <w:pPr>
        <w:jc w:val="both"/>
        <w:rPr>
          <w:sz w:val="24"/>
          <w:szCs w:val="24"/>
        </w:rPr>
      </w:pPr>
    </w:p>
    <w:p w:rsidR="00994945" w:rsidRDefault="00994945">
      <w:pPr>
        <w:jc w:val="both"/>
        <w:rPr>
          <w:sz w:val="24"/>
          <w:szCs w:val="24"/>
        </w:rPr>
      </w:pPr>
      <w:r>
        <w:rPr>
          <w:b/>
          <w:bCs/>
          <w:sz w:val="24"/>
          <w:szCs w:val="24"/>
          <w:u w:val="single"/>
        </w:rPr>
        <w:t xml:space="preserve">Employment of Former State Employees </w:t>
      </w:r>
      <w:r>
        <w:rPr>
          <w:sz w:val="24"/>
          <w:szCs w:val="24"/>
        </w:rPr>
        <w:t xml:space="preserve">- an assurance that any former employee employed by the State of California in a position that could have enabled such individuals to impact policy regarding or implementation of </w:t>
      </w:r>
      <w:r w:rsidR="00183456">
        <w:rPr>
          <w:sz w:val="24"/>
          <w:szCs w:val="24"/>
        </w:rPr>
        <w:t xml:space="preserve">any </w:t>
      </w:r>
      <w:r>
        <w:rPr>
          <w:sz w:val="24"/>
          <w:szCs w:val="24"/>
        </w:rPr>
        <w:t xml:space="preserve">program funded by </w:t>
      </w:r>
      <w:r w:rsidR="00183456">
        <w:rPr>
          <w:sz w:val="24"/>
          <w:szCs w:val="24"/>
        </w:rPr>
        <w:t xml:space="preserve">a SETA </w:t>
      </w:r>
      <w:r w:rsidR="00183456" w:rsidRPr="00183456">
        <w:rPr>
          <w:b/>
          <w:bCs/>
          <w:sz w:val="24"/>
          <w:szCs w:val="24"/>
        </w:rPr>
        <w:t>contract</w:t>
      </w:r>
      <w:r w:rsidR="00183456">
        <w:rPr>
          <w:sz w:val="24"/>
          <w:szCs w:val="24"/>
        </w:rPr>
        <w:t xml:space="preserve"> </w:t>
      </w:r>
      <w:r>
        <w:rPr>
          <w:sz w:val="24"/>
          <w:szCs w:val="24"/>
        </w:rPr>
        <w:t xml:space="preserve">will not be assigned to any part or phase of the activities conducted pursuant to the </w:t>
      </w:r>
      <w:r w:rsidR="00183456" w:rsidRPr="00183456">
        <w:rPr>
          <w:b/>
          <w:bCs/>
          <w:sz w:val="24"/>
          <w:szCs w:val="24"/>
        </w:rPr>
        <w:t>contract</w:t>
      </w:r>
      <w:r>
        <w:rPr>
          <w:sz w:val="24"/>
          <w:szCs w:val="24"/>
        </w:rPr>
        <w:t xml:space="preserve"> for a period of not less than t</w:t>
      </w:r>
      <w:r w:rsidR="00183456">
        <w:rPr>
          <w:sz w:val="24"/>
          <w:szCs w:val="24"/>
        </w:rPr>
        <w:t>w</w:t>
      </w:r>
      <w:r>
        <w:rPr>
          <w:sz w:val="24"/>
          <w:szCs w:val="24"/>
        </w:rPr>
        <w:t>o (2) years following the termination of such employment.</w:t>
      </w:r>
    </w:p>
    <w:p w:rsidR="00994945" w:rsidRDefault="00994945">
      <w:pPr>
        <w:jc w:val="both"/>
        <w:rPr>
          <w:b/>
          <w:bCs/>
          <w:sz w:val="24"/>
          <w:szCs w:val="24"/>
          <w:u w:val="single"/>
        </w:rPr>
      </w:pPr>
    </w:p>
    <w:p w:rsidR="00994945" w:rsidRDefault="00994945">
      <w:pPr>
        <w:jc w:val="both"/>
        <w:rPr>
          <w:sz w:val="24"/>
          <w:szCs w:val="24"/>
        </w:rPr>
      </w:pPr>
      <w:r>
        <w:rPr>
          <w:b/>
          <w:bCs/>
          <w:sz w:val="24"/>
          <w:szCs w:val="24"/>
          <w:u w:val="single"/>
        </w:rPr>
        <w:t>Fraud</w:t>
      </w:r>
      <w:r>
        <w:rPr>
          <w:b/>
          <w:bCs/>
          <w:sz w:val="24"/>
          <w:szCs w:val="24"/>
        </w:rPr>
        <w:t xml:space="preserve"> </w:t>
      </w:r>
      <w:r>
        <w:rPr>
          <w:sz w:val="24"/>
          <w:szCs w:val="24"/>
        </w:rPr>
        <w:t xml:space="preserve">is any deceitful act or omission or willful device used with the intent to obtain some unjust advantage for one party or to cause an inconvenience or loss to another party.  Types of </w:t>
      </w:r>
      <w:r>
        <w:rPr>
          <w:b/>
          <w:bCs/>
          <w:sz w:val="24"/>
          <w:szCs w:val="24"/>
        </w:rPr>
        <w:t>fraud</w:t>
      </w:r>
      <w:r>
        <w:rPr>
          <w:sz w:val="24"/>
          <w:szCs w:val="24"/>
        </w:rPr>
        <w:t xml:space="preserve"> include embezzlement, forgery, theft, solicitation and receipt of bribes (kickbacks), and falsification of records and claims, including, but not limited to, employment-related matters such as payroll records, timesheets and program participant information (e.g., knowingly enrolling ineligible participants).  Criminal </w:t>
      </w:r>
      <w:r>
        <w:rPr>
          <w:b/>
          <w:bCs/>
          <w:sz w:val="24"/>
          <w:szCs w:val="24"/>
        </w:rPr>
        <w:t>fraud</w:t>
      </w:r>
      <w:r>
        <w:rPr>
          <w:sz w:val="24"/>
          <w:szCs w:val="24"/>
        </w:rPr>
        <w:t xml:space="preserve"> is a type of larceny and is punishable under both federal and state law as a felony.  Civil </w:t>
      </w:r>
      <w:r>
        <w:rPr>
          <w:b/>
          <w:bCs/>
          <w:sz w:val="24"/>
          <w:szCs w:val="24"/>
        </w:rPr>
        <w:t>fraud</w:t>
      </w:r>
      <w:r>
        <w:rPr>
          <w:sz w:val="24"/>
          <w:szCs w:val="24"/>
        </w:rPr>
        <w:t xml:space="preserve"> is subject to </w:t>
      </w:r>
      <w:r w:rsidRPr="000E0012">
        <w:rPr>
          <w:b/>
          <w:bCs/>
          <w:sz w:val="24"/>
          <w:szCs w:val="24"/>
        </w:rPr>
        <w:t>tort</w:t>
      </w:r>
      <w:r>
        <w:rPr>
          <w:sz w:val="24"/>
          <w:szCs w:val="24"/>
        </w:rPr>
        <w:t xml:space="preserve"> actions under civil laws.</w:t>
      </w:r>
    </w:p>
    <w:p w:rsidR="00994945" w:rsidRDefault="00994945">
      <w:pPr>
        <w:jc w:val="both"/>
        <w:rPr>
          <w:sz w:val="24"/>
          <w:szCs w:val="24"/>
        </w:rPr>
      </w:pPr>
    </w:p>
    <w:p w:rsidR="00994945" w:rsidRDefault="00994945">
      <w:pPr>
        <w:jc w:val="both"/>
        <w:rPr>
          <w:sz w:val="24"/>
          <w:szCs w:val="24"/>
        </w:rPr>
      </w:pPr>
      <w:r>
        <w:rPr>
          <w:b/>
          <w:bCs/>
          <w:sz w:val="24"/>
          <w:szCs w:val="24"/>
          <w:u w:val="single"/>
        </w:rPr>
        <w:t xml:space="preserve">General Assurances </w:t>
      </w:r>
      <w:r>
        <w:rPr>
          <w:sz w:val="24"/>
          <w:szCs w:val="24"/>
        </w:rPr>
        <w:t xml:space="preserve">- </w:t>
      </w:r>
      <w:r w:rsidR="000E0012">
        <w:rPr>
          <w:sz w:val="24"/>
          <w:szCs w:val="24"/>
        </w:rPr>
        <w:t>E</w:t>
      </w:r>
      <w:r>
        <w:rPr>
          <w:sz w:val="24"/>
          <w:szCs w:val="24"/>
        </w:rPr>
        <w:t xml:space="preserve">very reasonable course of action will be taken in order to maintain the integrity of </w:t>
      </w:r>
      <w:r w:rsidR="000E0012">
        <w:rPr>
          <w:sz w:val="24"/>
          <w:szCs w:val="24"/>
        </w:rPr>
        <w:t>an</w:t>
      </w:r>
      <w:r>
        <w:rPr>
          <w:sz w:val="24"/>
          <w:szCs w:val="24"/>
        </w:rPr>
        <w:t xml:space="preserve"> expenditure of public funds and to avoid any favoritism, questionable or improper conduct.  Federal funds are administered in an impartial manner, free from personal, financial or political gains.  Executive staff and employees, in administering </w:t>
      </w:r>
      <w:r w:rsidR="000E0012">
        <w:rPr>
          <w:sz w:val="24"/>
          <w:szCs w:val="24"/>
        </w:rPr>
        <w:t>SETA</w:t>
      </w:r>
      <w:r>
        <w:rPr>
          <w:sz w:val="24"/>
          <w:szCs w:val="24"/>
        </w:rPr>
        <w:t xml:space="preserve"> funds, will avoid situations which give rise to a suggestion that any decision was influenced by prejudice, bias, special interest or personal gain.</w:t>
      </w:r>
    </w:p>
    <w:p w:rsidR="00994945" w:rsidRDefault="00994945">
      <w:pPr>
        <w:jc w:val="both"/>
        <w:rPr>
          <w:b/>
          <w:bCs/>
          <w:sz w:val="24"/>
          <w:szCs w:val="24"/>
          <w:u w:val="single"/>
        </w:rPr>
      </w:pPr>
    </w:p>
    <w:p w:rsidR="00994945" w:rsidRDefault="00994945">
      <w:pPr>
        <w:jc w:val="both"/>
        <w:rPr>
          <w:rFonts w:ascii="Arial" w:hAnsi="Arial" w:cs="Arial"/>
          <w:sz w:val="24"/>
          <w:szCs w:val="24"/>
        </w:rPr>
      </w:pPr>
      <w:r>
        <w:rPr>
          <w:b/>
          <w:bCs/>
          <w:sz w:val="24"/>
          <w:szCs w:val="24"/>
          <w:u w:val="single"/>
        </w:rPr>
        <w:lastRenderedPageBreak/>
        <w:t>Gross Mismanagement</w:t>
      </w:r>
      <w:r>
        <w:rPr>
          <w:sz w:val="24"/>
          <w:szCs w:val="24"/>
        </w:rPr>
        <w:t xml:space="preserve"> is defined as actions, or situations arising out of management ineptitude or oversight, which lead to a major violation of </w:t>
      </w:r>
      <w:r w:rsidRPr="000E0012">
        <w:rPr>
          <w:b/>
          <w:bCs/>
          <w:sz w:val="24"/>
          <w:szCs w:val="24"/>
        </w:rPr>
        <w:t>contract</w:t>
      </w:r>
      <w:r>
        <w:rPr>
          <w:sz w:val="24"/>
          <w:szCs w:val="24"/>
        </w:rPr>
        <w:t xml:space="preserve"> provisions and/or which severely hamper accomplishment o</w:t>
      </w:r>
      <w:r w:rsidR="000E0012">
        <w:rPr>
          <w:sz w:val="24"/>
          <w:szCs w:val="24"/>
        </w:rPr>
        <w:t>f</w:t>
      </w:r>
      <w:r>
        <w:rPr>
          <w:sz w:val="24"/>
          <w:szCs w:val="24"/>
        </w:rPr>
        <w:t xml:space="preserve"> program goals.  These include situations that lead to waste of government resources and put into serious jeopardy future support for a particular project.  This category includes, but is not limited to, unauditable records, unsupported costs, highly inaccurate fiscal and/or program reports, payroll discrepancies, payroll deductions not paid to the Internal Revenue Service of the State of California, and the lack of internal control procedures.</w:t>
      </w:r>
    </w:p>
    <w:p w:rsidR="00994945" w:rsidRDefault="00994945">
      <w:pPr>
        <w:jc w:val="both"/>
        <w:rPr>
          <w:rFonts w:ascii="Arial" w:hAnsi="Arial" w:cs="Arial"/>
          <w:sz w:val="24"/>
          <w:szCs w:val="24"/>
        </w:rPr>
      </w:pPr>
    </w:p>
    <w:p w:rsidR="00994945" w:rsidRDefault="00994945">
      <w:pPr>
        <w:jc w:val="both"/>
        <w:rPr>
          <w:sz w:val="24"/>
          <w:szCs w:val="24"/>
        </w:rPr>
      </w:pPr>
      <w:r>
        <w:rPr>
          <w:b/>
          <w:bCs/>
          <w:sz w:val="24"/>
          <w:szCs w:val="24"/>
          <w:u w:val="single"/>
        </w:rPr>
        <w:t>Lower-Tier Subrecipient</w:t>
      </w:r>
      <w:r>
        <w:rPr>
          <w:sz w:val="24"/>
          <w:szCs w:val="24"/>
        </w:rPr>
        <w:t xml:space="preserve"> is defined as a recipient of </w:t>
      </w:r>
      <w:r w:rsidR="00B5135F">
        <w:rPr>
          <w:sz w:val="24"/>
          <w:szCs w:val="24"/>
        </w:rPr>
        <w:t xml:space="preserve">federal or state </w:t>
      </w:r>
      <w:r>
        <w:rPr>
          <w:sz w:val="24"/>
          <w:szCs w:val="24"/>
        </w:rPr>
        <w:t>funds from SETA that does not receive its funds directly from the state or federal government, including, but not limited to, contracted service providers and subgrantees of SETA.</w:t>
      </w:r>
    </w:p>
    <w:p w:rsidR="00994945" w:rsidRDefault="00994945">
      <w:pPr>
        <w:jc w:val="both"/>
        <w:rPr>
          <w:sz w:val="24"/>
          <w:szCs w:val="24"/>
        </w:rPr>
      </w:pPr>
    </w:p>
    <w:p w:rsidR="00994945" w:rsidRDefault="00994945">
      <w:pPr>
        <w:jc w:val="both"/>
        <w:rPr>
          <w:sz w:val="24"/>
          <w:szCs w:val="24"/>
        </w:rPr>
      </w:pPr>
      <w:r>
        <w:rPr>
          <w:b/>
          <w:bCs/>
          <w:sz w:val="24"/>
          <w:szCs w:val="24"/>
          <w:u w:val="single"/>
        </w:rPr>
        <w:t>Maintenance of Effort</w:t>
      </w:r>
      <w:r>
        <w:rPr>
          <w:sz w:val="24"/>
          <w:szCs w:val="24"/>
        </w:rPr>
        <w:t xml:space="preserve"> is defined as: </w:t>
      </w:r>
    </w:p>
    <w:p w:rsidR="00994945" w:rsidRDefault="00994945">
      <w:pPr>
        <w:jc w:val="both"/>
        <w:rPr>
          <w:sz w:val="24"/>
          <w:szCs w:val="24"/>
        </w:rPr>
      </w:pPr>
    </w:p>
    <w:p w:rsidR="00994945" w:rsidRDefault="00994945">
      <w:pPr>
        <w:jc w:val="both"/>
        <w:rPr>
          <w:sz w:val="24"/>
          <w:szCs w:val="24"/>
        </w:rPr>
        <w:sectPr w:rsidR="00994945" w:rsidSect="004E6C38">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440" w:bottom="1008" w:left="1440" w:header="1440" w:footer="1440" w:gutter="0"/>
          <w:cols w:space="720"/>
        </w:sectPr>
      </w:pPr>
    </w:p>
    <w:p w:rsidR="00994945" w:rsidRDefault="00994945" w:rsidP="00F56B60">
      <w:pPr>
        <w:pStyle w:val="Level10"/>
        <w:numPr>
          <w:ilvl w:val="0"/>
          <w:numId w:val="1"/>
        </w:numPr>
        <w:tabs>
          <w:tab w:val="left" w:pos="720"/>
          <w:tab w:val="left" w:pos="1440"/>
        </w:tabs>
        <w:ind w:left="1440" w:hanging="1440"/>
      </w:pPr>
      <w:r>
        <w:lastRenderedPageBreak/>
        <w:t xml:space="preserve">No currently employed worker shall be displaced by any participant (including partial displacement such as reduction in the hours of non-overtime work, wages or employment benefits).  </w:t>
      </w:r>
    </w:p>
    <w:p w:rsidR="00994945" w:rsidRDefault="00994945" w:rsidP="00F56B60">
      <w:pPr>
        <w:numPr>
          <w:ilvl w:val="12"/>
          <w:numId w:val="0"/>
        </w:numPr>
        <w:jc w:val="both"/>
        <w:rPr>
          <w:sz w:val="24"/>
          <w:szCs w:val="24"/>
        </w:rPr>
      </w:pPr>
    </w:p>
    <w:p w:rsidR="00994945" w:rsidRDefault="00994945" w:rsidP="00F56B60">
      <w:pPr>
        <w:pStyle w:val="Level10"/>
        <w:numPr>
          <w:ilvl w:val="0"/>
          <w:numId w:val="1"/>
        </w:numPr>
        <w:tabs>
          <w:tab w:val="left" w:pos="720"/>
          <w:tab w:val="left" w:pos="1440"/>
        </w:tabs>
        <w:ind w:left="1440" w:hanging="1440"/>
      </w:pPr>
      <w:r>
        <w:t>No participant shall be employed or job opening filled when:</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sectPr w:rsidR="00994945" w:rsidSect="004E6C38">
          <w:type w:val="continuous"/>
          <w:pgSz w:w="12240" w:h="15840"/>
          <w:pgMar w:top="1008" w:right="1440" w:bottom="1008" w:left="1440" w:header="1440" w:footer="1440" w:gutter="0"/>
          <w:cols w:space="720"/>
        </w:sectPr>
      </w:pPr>
    </w:p>
    <w:p w:rsidR="00994945" w:rsidRDefault="00994945">
      <w:pPr>
        <w:spacing w:line="2" w:lineRule="exact"/>
        <w:rPr>
          <w:sz w:val="24"/>
          <w:szCs w:val="24"/>
        </w:rPr>
      </w:pPr>
    </w:p>
    <w:p w:rsidR="00994945" w:rsidRDefault="00994945" w:rsidP="00F56B60">
      <w:pPr>
        <w:pStyle w:val="Level10"/>
        <w:numPr>
          <w:ilvl w:val="0"/>
          <w:numId w:val="2"/>
        </w:numPr>
        <w:tabs>
          <w:tab w:val="left" w:pos="720"/>
          <w:tab w:val="left" w:pos="1440"/>
        </w:tabs>
        <w:ind w:left="2160" w:hanging="720"/>
      </w:pPr>
      <w:r>
        <w:t>Any other individual is on layoff from the same or any substantially equivalent job; or</w:t>
      </w:r>
    </w:p>
    <w:p w:rsidR="00994945" w:rsidRDefault="00994945" w:rsidP="00F56B60">
      <w:pPr>
        <w:numPr>
          <w:ilvl w:val="12"/>
          <w:numId w:val="0"/>
        </w:numPr>
        <w:jc w:val="both"/>
        <w:rPr>
          <w:sz w:val="24"/>
          <w:szCs w:val="24"/>
        </w:rPr>
      </w:pPr>
    </w:p>
    <w:p w:rsidR="00994945" w:rsidRDefault="00994945" w:rsidP="00F56B60">
      <w:pPr>
        <w:pStyle w:val="Level10"/>
        <w:numPr>
          <w:ilvl w:val="0"/>
          <w:numId w:val="2"/>
        </w:numPr>
        <w:tabs>
          <w:tab w:val="left" w:pos="720"/>
          <w:tab w:val="left" w:pos="1440"/>
        </w:tabs>
        <w:ind w:left="2160" w:hanging="720"/>
      </w:pPr>
      <w:r>
        <w:t>The employer has terminated the employment of any regular employee or otherwise reduced its workforce with the intention of filling the vacancy so created by hiring a participant whose wages are subsidized by SETA funds, including, but not limited to, WI</w:t>
      </w:r>
      <w:r w:rsidR="00797000">
        <w:t>O</w:t>
      </w:r>
      <w:r>
        <w:t>A funds.</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sectPr w:rsidR="00994945" w:rsidSect="004E6C38">
          <w:type w:val="continuous"/>
          <w:pgSz w:w="12240" w:h="15840"/>
          <w:pgMar w:top="1008" w:right="1440" w:bottom="1008" w:left="1440" w:header="1440" w:footer="1440" w:gutter="0"/>
          <w:cols w:space="720"/>
        </w:sectPr>
      </w:pPr>
    </w:p>
    <w:p w:rsidR="00994945" w:rsidRDefault="00994945">
      <w:pPr>
        <w:spacing w:line="2" w:lineRule="exact"/>
        <w:rPr>
          <w:sz w:val="24"/>
          <w:szCs w:val="24"/>
        </w:rPr>
      </w:pPr>
    </w:p>
    <w:p w:rsidR="00994945" w:rsidRDefault="00994945" w:rsidP="00F56B60">
      <w:pPr>
        <w:numPr>
          <w:ilvl w:val="12"/>
          <w:numId w:val="0"/>
        </w:numPr>
        <w:jc w:val="both"/>
        <w:rPr>
          <w:sz w:val="24"/>
          <w:szCs w:val="24"/>
        </w:rPr>
      </w:pPr>
      <w:r>
        <w:rPr>
          <w:b/>
          <w:bCs/>
          <w:sz w:val="24"/>
          <w:szCs w:val="24"/>
          <w:u w:val="single"/>
        </w:rPr>
        <w:t>Misapplication of funds</w:t>
      </w:r>
      <w:r>
        <w:rPr>
          <w:sz w:val="24"/>
          <w:szCs w:val="24"/>
        </w:rPr>
        <w:t xml:space="preserve"> is defined as any use of funds, assets, or property not authorized or provided for in an applicable </w:t>
      </w:r>
      <w:r>
        <w:rPr>
          <w:b/>
          <w:bCs/>
          <w:sz w:val="24"/>
          <w:szCs w:val="24"/>
        </w:rPr>
        <w:t>contract</w:t>
      </w:r>
      <w:r>
        <w:rPr>
          <w:sz w:val="24"/>
          <w:szCs w:val="24"/>
        </w:rPr>
        <w:t xml:space="preserve">.  This category includes, but is not limited to, nepotism, political patronage, use of participants for political activity, intentional services to ineligible program participants, conflict of interest, failure to report income derived from SETA funds, violation of </w:t>
      </w:r>
      <w:r>
        <w:rPr>
          <w:b/>
          <w:bCs/>
          <w:sz w:val="24"/>
          <w:szCs w:val="24"/>
        </w:rPr>
        <w:t>contract</w:t>
      </w:r>
      <w:r>
        <w:rPr>
          <w:sz w:val="24"/>
          <w:szCs w:val="24"/>
        </w:rPr>
        <w:t xml:space="preserve"> provisions, maintenance of effort violations, and the use of the SETA funds for purposes other than those permitted by the applicable funding source.</w:t>
      </w:r>
    </w:p>
    <w:p w:rsidR="00994945" w:rsidRDefault="00994945" w:rsidP="00F56B60">
      <w:pPr>
        <w:numPr>
          <w:ilvl w:val="12"/>
          <w:numId w:val="0"/>
        </w:numPr>
        <w:jc w:val="both"/>
        <w:rPr>
          <w:b/>
          <w:bCs/>
          <w:sz w:val="24"/>
          <w:szCs w:val="24"/>
          <w:u w:val="single"/>
        </w:rPr>
      </w:pPr>
    </w:p>
    <w:p w:rsidR="00994945" w:rsidRDefault="00994945" w:rsidP="00F56B60">
      <w:pPr>
        <w:numPr>
          <w:ilvl w:val="12"/>
          <w:numId w:val="0"/>
        </w:numPr>
        <w:jc w:val="both"/>
        <w:rPr>
          <w:sz w:val="24"/>
          <w:szCs w:val="24"/>
        </w:rPr>
      </w:pPr>
      <w:r>
        <w:rPr>
          <w:b/>
          <w:bCs/>
          <w:sz w:val="24"/>
          <w:szCs w:val="24"/>
          <w:u w:val="single"/>
        </w:rPr>
        <w:t>Standard of Conduct Violations</w:t>
      </w:r>
      <w:r>
        <w:rPr>
          <w:b/>
          <w:bCs/>
          <w:sz w:val="24"/>
          <w:szCs w:val="24"/>
        </w:rPr>
        <w:t xml:space="preserve"> </w:t>
      </w:r>
      <w:r>
        <w:rPr>
          <w:sz w:val="24"/>
          <w:szCs w:val="24"/>
        </w:rPr>
        <w:t xml:space="preserve">are defined as violations of the terms and conditions stipulated in an applicable federal, state or SETA </w:t>
      </w:r>
      <w:r w:rsidRPr="000E0012">
        <w:rPr>
          <w:b/>
          <w:bCs/>
          <w:sz w:val="24"/>
          <w:szCs w:val="24"/>
        </w:rPr>
        <w:t>contract</w:t>
      </w:r>
      <w:r>
        <w:rPr>
          <w:sz w:val="24"/>
          <w:szCs w:val="24"/>
        </w:rPr>
        <w:t xml:space="preserve">.  The relevant stipulations in the </w:t>
      </w:r>
      <w:r w:rsidRPr="000E0012">
        <w:rPr>
          <w:b/>
          <w:bCs/>
          <w:sz w:val="24"/>
          <w:szCs w:val="24"/>
        </w:rPr>
        <w:t>contract</w:t>
      </w:r>
      <w:r>
        <w:rPr>
          <w:sz w:val="24"/>
          <w:szCs w:val="24"/>
        </w:rPr>
        <w:t xml:space="preserve"> may include, but will not necessarily be limited to, any failure to meet the following standards</w:t>
      </w:r>
      <w:r w:rsidR="00C62FD7">
        <w:rPr>
          <w:sz w:val="24"/>
          <w:szCs w:val="24"/>
        </w:rPr>
        <w:t xml:space="preserve"> defined herein:</w:t>
      </w:r>
      <w:r>
        <w:rPr>
          <w:sz w:val="24"/>
          <w:szCs w:val="24"/>
        </w:rPr>
        <w:t xml:space="preserve"> </w:t>
      </w:r>
      <w:r>
        <w:rPr>
          <w:b/>
          <w:bCs/>
          <w:sz w:val="24"/>
          <w:szCs w:val="24"/>
        </w:rPr>
        <w:t>General Assurances</w:t>
      </w:r>
      <w:r w:rsidR="00D337DF" w:rsidRPr="00D337DF">
        <w:rPr>
          <w:sz w:val="24"/>
          <w:szCs w:val="24"/>
        </w:rPr>
        <w:t>;</w:t>
      </w:r>
      <w:r>
        <w:rPr>
          <w:sz w:val="24"/>
          <w:szCs w:val="24"/>
        </w:rPr>
        <w:t xml:space="preserve"> </w:t>
      </w:r>
      <w:r>
        <w:rPr>
          <w:b/>
          <w:bCs/>
          <w:sz w:val="24"/>
          <w:szCs w:val="24"/>
        </w:rPr>
        <w:t>Employment of Former State Employees</w:t>
      </w:r>
      <w:r w:rsidR="00D337DF" w:rsidRPr="00D337DF">
        <w:rPr>
          <w:sz w:val="24"/>
          <w:szCs w:val="24"/>
        </w:rPr>
        <w:t>;</w:t>
      </w:r>
      <w:r>
        <w:rPr>
          <w:sz w:val="24"/>
          <w:szCs w:val="24"/>
        </w:rPr>
        <w:t xml:space="preserve"> </w:t>
      </w:r>
      <w:r>
        <w:rPr>
          <w:b/>
          <w:bCs/>
          <w:sz w:val="24"/>
          <w:szCs w:val="24"/>
        </w:rPr>
        <w:t>Conducting Business Involving Relatives</w:t>
      </w:r>
      <w:r w:rsidR="00D337DF" w:rsidRPr="00D337DF">
        <w:rPr>
          <w:sz w:val="24"/>
          <w:szCs w:val="24"/>
        </w:rPr>
        <w:t>;</w:t>
      </w:r>
      <w:r>
        <w:rPr>
          <w:sz w:val="24"/>
          <w:szCs w:val="24"/>
        </w:rPr>
        <w:t xml:space="preserve"> </w:t>
      </w:r>
      <w:r>
        <w:rPr>
          <w:b/>
          <w:bCs/>
          <w:sz w:val="24"/>
          <w:szCs w:val="24"/>
        </w:rPr>
        <w:t>Conducting Business Involving Close Personal Friends and Associates</w:t>
      </w:r>
      <w:r w:rsidR="00D337DF" w:rsidRPr="00D337DF">
        <w:rPr>
          <w:sz w:val="24"/>
          <w:szCs w:val="24"/>
        </w:rPr>
        <w:t>;</w:t>
      </w:r>
      <w:r>
        <w:rPr>
          <w:sz w:val="24"/>
          <w:szCs w:val="24"/>
        </w:rPr>
        <w:t xml:space="preserve"> </w:t>
      </w:r>
      <w:r>
        <w:rPr>
          <w:b/>
          <w:bCs/>
          <w:sz w:val="24"/>
          <w:szCs w:val="24"/>
        </w:rPr>
        <w:t>Avoidance of Conflict of Economic Interest</w:t>
      </w:r>
      <w:r w:rsidR="00D337DF" w:rsidRPr="00D337DF">
        <w:rPr>
          <w:sz w:val="24"/>
          <w:szCs w:val="24"/>
        </w:rPr>
        <w:t>;</w:t>
      </w:r>
      <w:r>
        <w:rPr>
          <w:b/>
          <w:bCs/>
          <w:sz w:val="24"/>
          <w:szCs w:val="24"/>
        </w:rPr>
        <w:t xml:space="preserve"> </w:t>
      </w:r>
      <w:r>
        <w:rPr>
          <w:sz w:val="24"/>
          <w:szCs w:val="24"/>
        </w:rPr>
        <w:t xml:space="preserve">and </w:t>
      </w:r>
      <w:r>
        <w:rPr>
          <w:b/>
          <w:bCs/>
          <w:sz w:val="24"/>
          <w:szCs w:val="24"/>
        </w:rPr>
        <w:t>Maintenance of Effort</w:t>
      </w:r>
      <w:r>
        <w:rPr>
          <w:sz w:val="24"/>
          <w:szCs w:val="24"/>
        </w:rPr>
        <w:t>.</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b/>
          <w:bCs/>
          <w:sz w:val="24"/>
          <w:szCs w:val="24"/>
          <w:u w:val="single"/>
        </w:rPr>
        <w:t>Subrecipient</w:t>
      </w:r>
      <w:r>
        <w:rPr>
          <w:sz w:val="24"/>
          <w:szCs w:val="24"/>
        </w:rPr>
        <w:t xml:space="preserve"> is defined as SETA, as the local recipient of WI</w:t>
      </w:r>
      <w:r w:rsidR="00797000">
        <w:rPr>
          <w:sz w:val="24"/>
          <w:szCs w:val="24"/>
        </w:rPr>
        <w:t>O</w:t>
      </w:r>
      <w:r>
        <w:rPr>
          <w:sz w:val="24"/>
          <w:szCs w:val="24"/>
        </w:rPr>
        <w:t>A and other federal, state and private funds.</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b/>
          <w:bCs/>
          <w:sz w:val="24"/>
          <w:szCs w:val="24"/>
          <w:u w:val="single"/>
        </w:rPr>
        <w:t>Tort</w:t>
      </w:r>
      <w:r>
        <w:rPr>
          <w:sz w:val="24"/>
          <w:szCs w:val="24"/>
        </w:rPr>
        <w:t xml:space="preserve"> is defined as damage, injury, or a wrongful act done willfully, negligently, or in circumstances involving strict liability, but not involving breach of contract, for which a civil suit can be brought.</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sectPr w:rsidR="00994945" w:rsidSect="004E6C38">
          <w:type w:val="continuous"/>
          <w:pgSz w:w="12240" w:h="15840"/>
          <w:pgMar w:top="1008" w:right="1440" w:bottom="1008" w:left="1440" w:header="1440" w:footer="1440" w:gutter="0"/>
          <w:cols w:space="720"/>
        </w:sectPr>
      </w:pPr>
    </w:p>
    <w:p w:rsidR="004E6C38" w:rsidRDefault="004E6C38" w:rsidP="00F56B60">
      <w:pPr>
        <w:numPr>
          <w:ilvl w:val="12"/>
          <w:numId w:val="0"/>
        </w:numPr>
        <w:jc w:val="both"/>
        <w:rPr>
          <w:b/>
          <w:bCs/>
          <w:sz w:val="24"/>
          <w:szCs w:val="24"/>
        </w:rPr>
      </w:pPr>
    </w:p>
    <w:p w:rsidR="004E6C38" w:rsidRDefault="004E6C38" w:rsidP="00F56B60">
      <w:pPr>
        <w:numPr>
          <w:ilvl w:val="12"/>
          <w:numId w:val="0"/>
        </w:numPr>
        <w:jc w:val="both"/>
        <w:rPr>
          <w:b/>
          <w:bCs/>
          <w:sz w:val="24"/>
          <w:szCs w:val="24"/>
        </w:rPr>
      </w:pPr>
    </w:p>
    <w:p w:rsidR="00994945" w:rsidRDefault="00994945" w:rsidP="00F56B60">
      <w:pPr>
        <w:numPr>
          <w:ilvl w:val="12"/>
          <w:numId w:val="0"/>
        </w:numPr>
        <w:jc w:val="both"/>
        <w:rPr>
          <w:b/>
          <w:bCs/>
          <w:sz w:val="24"/>
          <w:szCs w:val="24"/>
        </w:rPr>
      </w:pPr>
      <w:r>
        <w:rPr>
          <w:b/>
          <w:bCs/>
          <w:sz w:val="24"/>
          <w:szCs w:val="24"/>
        </w:rPr>
        <w:t>POLICY</w:t>
      </w:r>
    </w:p>
    <w:p w:rsidR="00994945" w:rsidRDefault="00994945" w:rsidP="00F56B60">
      <w:pPr>
        <w:numPr>
          <w:ilvl w:val="12"/>
          <w:numId w:val="0"/>
        </w:numPr>
        <w:jc w:val="both"/>
        <w:rPr>
          <w:b/>
          <w:bCs/>
          <w:sz w:val="24"/>
          <w:szCs w:val="24"/>
        </w:rPr>
      </w:pPr>
    </w:p>
    <w:p w:rsidR="00994945" w:rsidRDefault="00994945" w:rsidP="00F56B60">
      <w:pPr>
        <w:numPr>
          <w:ilvl w:val="12"/>
          <w:numId w:val="0"/>
        </w:numPr>
        <w:jc w:val="both"/>
        <w:rPr>
          <w:b/>
          <w:bCs/>
          <w:sz w:val="24"/>
          <w:szCs w:val="24"/>
        </w:rPr>
      </w:pPr>
      <w:r>
        <w:rPr>
          <w:sz w:val="24"/>
          <w:szCs w:val="24"/>
        </w:rPr>
        <w:t xml:space="preserve">All SETA staff and all </w:t>
      </w:r>
      <w:r>
        <w:rPr>
          <w:b/>
          <w:bCs/>
          <w:sz w:val="24"/>
          <w:szCs w:val="24"/>
        </w:rPr>
        <w:t xml:space="preserve">lower-tier subrecipients </w:t>
      </w:r>
      <w:r>
        <w:rPr>
          <w:sz w:val="24"/>
          <w:szCs w:val="24"/>
        </w:rPr>
        <w:t xml:space="preserve">of SETA funds shall: maintain a system of internal controls to ensure that resources are used consistent with laws, regulations and policies, and are safe-guarded against waste, loss and </w:t>
      </w:r>
      <w:r>
        <w:rPr>
          <w:b/>
          <w:bCs/>
          <w:sz w:val="24"/>
          <w:szCs w:val="24"/>
        </w:rPr>
        <w:t xml:space="preserve">gross mismanagement </w:t>
      </w:r>
      <w:r>
        <w:rPr>
          <w:sz w:val="24"/>
          <w:szCs w:val="24"/>
        </w:rPr>
        <w:t xml:space="preserve">of funds; alert SETA to the potential of </w:t>
      </w:r>
      <w:r>
        <w:rPr>
          <w:b/>
          <w:bCs/>
          <w:sz w:val="24"/>
          <w:szCs w:val="24"/>
        </w:rPr>
        <w:t>fraud</w:t>
      </w:r>
      <w:r>
        <w:rPr>
          <w:sz w:val="24"/>
          <w:szCs w:val="24"/>
        </w:rPr>
        <w:t xml:space="preserve">, abuse, criminal acts and/or </w:t>
      </w:r>
      <w:r>
        <w:rPr>
          <w:b/>
          <w:bCs/>
          <w:sz w:val="24"/>
          <w:szCs w:val="24"/>
        </w:rPr>
        <w:t>torts</w:t>
      </w:r>
      <w:r>
        <w:rPr>
          <w:sz w:val="24"/>
          <w:szCs w:val="24"/>
        </w:rPr>
        <w:t xml:space="preserve"> in any SETA-funded program through conflict of interest, falsification of records or reports and </w:t>
      </w:r>
      <w:r>
        <w:rPr>
          <w:b/>
          <w:bCs/>
          <w:sz w:val="24"/>
          <w:szCs w:val="24"/>
        </w:rPr>
        <w:t xml:space="preserve">misapplication of funds </w:t>
      </w:r>
      <w:r>
        <w:rPr>
          <w:sz w:val="24"/>
          <w:szCs w:val="24"/>
        </w:rPr>
        <w:t>or other assets; avoid improper</w:t>
      </w:r>
      <w:r>
        <w:rPr>
          <w:b/>
          <w:bCs/>
          <w:sz w:val="24"/>
          <w:szCs w:val="24"/>
        </w:rPr>
        <w:t xml:space="preserve"> employment of former state employees, employee/participant misconduct </w:t>
      </w:r>
      <w:r>
        <w:rPr>
          <w:sz w:val="24"/>
          <w:szCs w:val="24"/>
        </w:rPr>
        <w:t xml:space="preserve">and </w:t>
      </w:r>
      <w:r>
        <w:rPr>
          <w:b/>
          <w:bCs/>
          <w:sz w:val="24"/>
          <w:szCs w:val="24"/>
        </w:rPr>
        <w:t>standard of conduct violations</w:t>
      </w:r>
      <w:r>
        <w:rPr>
          <w:sz w:val="24"/>
          <w:szCs w:val="24"/>
        </w:rPr>
        <w:t>; and be aware of obligations to report activities contrary to these policies to SETA’s Administrati</w:t>
      </w:r>
      <w:r w:rsidR="00C5382B">
        <w:rPr>
          <w:sz w:val="24"/>
          <w:szCs w:val="24"/>
        </w:rPr>
        <w:t>on</w:t>
      </w:r>
      <w:r>
        <w:rPr>
          <w:sz w:val="24"/>
          <w:szCs w:val="24"/>
        </w:rPr>
        <w:t xml:space="preserve"> Department Chief.</w:t>
      </w:r>
    </w:p>
    <w:p w:rsidR="00994945" w:rsidRDefault="00994945" w:rsidP="00F56B60">
      <w:pPr>
        <w:numPr>
          <w:ilvl w:val="12"/>
          <w:numId w:val="0"/>
        </w:numPr>
        <w:jc w:val="both"/>
        <w:rPr>
          <w:b/>
          <w:bCs/>
          <w:sz w:val="24"/>
          <w:szCs w:val="24"/>
        </w:rPr>
      </w:pPr>
    </w:p>
    <w:p w:rsidR="00994945" w:rsidRDefault="00994945" w:rsidP="00F56B60">
      <w:pPr>
        <w:numPr>
          <w:ilvl w:val="12"/>
          <w:numId w:val="0"/>
        </w:numPr>
        <w:jc w:val="both"/>
        <w:rPr>
          <w:b/>
          <w:bCs/>
          <w:sz w:val="24"/>
          <w:szCs w:val="24"/>
        </w:rPr>
      </w:pPr>
      <w:r>
        <w:rPr>
          <w:b/>
          <w:bCs/>
          <w:sz w:val="24"/>
          <w:szCs w:val="24"/>
        </w:rPr>
        <w:t xml:space="preserve">PROCEDURE </w:t>
      </w:r>
    </w:p>
    <w:p w:rsidR="00994945" w:rsidRDefault="00994945" w:rsidP="00F56B60">
      <w:pPr>
        <w:numPr>
          <w:ilvl w:val="12"/>
          <w:numId w:val="0"/>
        </w:numPr>
        <w:jc w:val="both"/>
        <w:rPr>
          <w:b/>
          <w:bCs/>
          <w:sz w:val="24"/>
          <w:szCs w:val="24"/>
        </w:rPr>
      </w:pPr>
    </w:p>
    <w:p w:rsidR="00994945" w:rsidRDefault="00994945" w:rsidP="00F56B60">
      <w:pPr>
        <w:pStyle w:val="Level10"/>
        <w:numPr>
          <w:ilvl w:val="0"/>
          <w:numId w:val="1"/>
        </w:numPr>
        <w:tabs>
          <w:tab w:val="left" w:pos="720"/>
        </w:tabs>
        <w:ind w:left="720" w:hanging="720"/>
      </w:pPr>
      <w:r>
        <w:t xml:space="preserve">SETA staff and </w:t>
      </w:r>
      <w:r>
        <w:rPr>
          <w:b/>
          <w:bCs/>
        </w:rPr>
        <w:t>lower-tier subrecipients</w:t>
      </w:r>
      <w:r>
        <w:rPr>
          <w:rFonts w:ascii="Arial" w:hAnsi="Arial" w:cs="Arial"/>
          <w:b/>
          <w:bCs/>
        </w:rPr>
        <w:t xml:space="preserve"> </w:t>
      </w:r>
      <w:r>
        <w:t>shall follow the following procedures to report all instances (or suspected instances) of violation of this policy:</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sectPr w:rsidR="00994945" w:rsidSect="004E6C38">
          <w:type w:val="continuous"/>
          <w:pgSz w:w="12240" w:h="15840"/>
          <w:pgMar w:top="1008" w:right="1440" w:bottom="1008" w:left="1440" w:header="1440" w:footer="1440" w:gutter="0"/>
          <w:cols w:space="720"/>
        </w:sectPr>
      </w:pPr>
    </w:p>
    <w:p w:rsidR="00994945" w:rsidRDefault="00994945">
      <w:pPr>
        <w:spacing w:line="2" w:lineRule="exact"/>
        <w:rPr>
          <w:sz w:val="24"/>
          <w:szCs w:val="24"/>
        </w:rPr>
      </w:pPr>
    </w:p>
    <w:p w:rsidR="00994945" w:rsidRDefault="00994945" w:rsidP="00F56B60">
      <w:pPr>
        <w:pStyle w:val="Level10"/>
        <w:numPr>
          <w:ilvl w:val="0"/>
          <w:numId w:val="3"/>
        </w:numPr>
        <w:tabs>
          <w:tab w:val="left" w:pos="720"/>
          <w:tab w:val="left" w:pos="1440"/>
        </w:tabs>
        <w:ind w:left="1440" w:hanging="1440"/>
      </w:pPr>
      <w:r>
        <w:t xml:space="preserve">Report any purported violation of this policy to SETA’s </w:t>
      </w:r>
      <w:r w:rsidR="00797000">
        <w:t>Human Resources</w:t>
      </w:r>
      <w:r>
        <w:t xml:space="preserve"> Department Chief within one (1) work day (generally, twenty-four (24) hours) of discovery of the act or upon reasonable belief of such acts arising by completing an Incident Report, in the form attached hereto</w:t>
      </w:r>
      <w:r w:rsidR="000E0012">
        <w:t>,</w:t>
      </w:r>
      <w:r>
        <w:t xml:space="preserve"> and delivering </w:t>
      </w:r>
      <w:r w:rsidR="000E0012">
        <w:t xml:space="preserve">the completed Incident Report </w:t>
      </w:r>
      <w:r>
        <w:t>personally, electronically or by facsimile to:</w:t>
      </w:r>
    </w:p>
    <w:p w:rsidR="00994945" w:rsidRDefault="00994945" w:rsidP="00F56B60">
      <w:pPr>
        <w:numPr>
          <w:ilvl w:val="12"/>
          <w:numId w:val="0"/>
        </w:numPr>
        <w:jc w:val="both"/>
        <w:rPr>
          <w:sz w:val="24"/>
          <w:szCs w:val="24"/>
        </w:rPr>
      </w:pPr>
    </w:p>
    <w:p w:rsidR="00994945" w:rsidRDefault="00797000" w:rsidP="00F56B60">
      <w:pPr>
        <w:numPr>
          <w:ilvl w:val="12"/>
          <w:numId w:val="0"/>
        </w:numPr>
        <w:jc w:val="center"/>
        <w:rPr>
          <w:sz w:val="24"/>
          <w:szCs w:val="24"/>
        </w:rPr>
      </w:pPr>
      <w:r>
        <w:rPr>
          <w:sz w:val="24"/>
          <w:szCs w:val="24"/>
        </w:rPr>
        <w:t>Human Resources</w:t>
      </w:r>
      <w:r w:rsidR="00994945">
        <w:rPr>
          <w:sz w:val="24"/>
          <w:szCs w:val="24"/>
        </w:rPr>
        <w:t xml:space="preserve"> Department Chief</w:t>
      </w:r>
    </w:p>
    <w:p w:rsidR="00994945" w:rsidRDefault="00994945" w:rsidP="00F56B60">
      <w:pPr>
        <w:numPr>
          <w:ilvl w:val="12"/>
          <w:numId w:val="0"/>
        </w:numPr>
        <w:jc w:val="center"/>
        <w:rPr>
          <w:sz w:val="24"/>
          <w:szCs w:val="24"/>
        </w:rPr>
      </w:pPr>
      <w:r>
        <w:rPr>
          <w:sz w:val="24"/>
          <w:szCs w:val="24"/>
        </w:rPr>
        <w:t>Sacramento Employment &amp; Training Agency</w:t>
      </w:r>
    </w:p>
    <w:p w:rsidR="00994945" w:rsidRDefault="00994945" w:rsidP="00F56B60">
      <w:pPr>
        <w:numPr>
          <w:ilvl w:val="12"/>
          <w:numId w:val="0"/>
        </w:numPr>
        <w:jc w:val="center"/>
        <w:rPr>
          <w:sz w:val="24"/>
          <w:szCs w:val="24"/>
        </w:rPr>
      </w:pPr>
      <w:r>
        <w:rPr>
          <w:sz w:val="24"/>
          <w:szCs w:val="24"/>
        </w:rPr>
        <w:t>925 Del Paso Boulevard</w:t>
      </w:r>
      <w:r w:rsidR="00C5382B">
        <w:rPr>
          <w:sz w:val="24"/>
          <w:szCs w:val="24"/>
        </w:rPr>
        <w:t>, Suite 100</w:t>
      </w:r>
    </w:p>
    <w:p w:rsidR="00994945" w:rsidRDefault="00994945" w:rsidP="00F56B60">
      <w:pPr>
        <w:numPr>
          <w:ilvl w:val="12"/>
          <w:numId w:val="0"/>
        </w:numPr>
        <w:jc w:val="center"/>
        <w:rPr>
          <w:sz w:val="24"/>
          <w:szCs w:val="24"/>
        </w:rPr>
      </w:pPr>
      <w:r>
        <w:rPr>
          <w:sz w:val="24"/>
          <w:szCs w:val="24"/>
        </w:rPr>
        <w:t>Sacramento, CA 95815</w:t>
      </w:r>
    </w:p>
    <w:p w:rsidR="00994945" w:rsidRDefault="00994945" w:rsidP="00F56B60">
      <w:pPr>
        <w:numPr>
          <w:ilvl w:val="12"/>
          <w:numId w:val="0"/>
        </w:numPr>
        <w:jc w:val="center"/>
        <w:rPr>
          <w:sz w:val="24"/>
          <w:szCs w:val="24"/>
        </w:rPr>
      </w:pPr>
      <w:r>
        <w:rPr>
          <w:sz w:val="24"/>
          <w:szCs w:val="24"/>
        </w:rPr>
        <w:t>(916) 263-3</w:t>
      </w:r>
      <w:r w:rsidR="00797000">
        <w:rPr>
          <w:sz w:val="24"/>
          <w:szCs w:val="24"/>
        </w:rPr>
        <w:t>658</w:t>
      </w:r>
    </w:p>
    <w:p w:rsidR="00994945" w:rsidRDefault="00994945" w:rsidP="00F56B60">
      <w:pPr>
        <w:numPr>
          <w:ilvl w:val="12"/>
          <w:numId w:val="0"/>
        </w:numPr>
        <w:jc w:val="center"/>
        <w:rPr>
          <w:sz w:val="24"/>
          <w:szCs w:val="24"/>
        </w:rPr>
      </w:pPr>
      <w:r>
        <w:rPr>
          <w:sz w:val="24"/>
          <w:szCs w:val="24"/>
        </w:rPr>
        <w:t>Facsimile: (916) 263-3566</w:t>
      </w:r>
    </w:p>
    <w:p w:rsidR="00994945" w:rsidRDefault="00994945" w:rsidP="00F56B60">
      <w:pPr>
        <w:numPr>
          <w:ilvl w:val="12"/>
          <w:numId w:val="0"/>
        </w:numPr>
        <w:jc w:val="both"/>
        <w:rPr>
          <w:sz w:val="24"/>
          <w:szCs w:val="24"/>
        </w:rPr>
      </w:pPr>
    </w:p>
    <w:p w:rsidR="00994945" w:rsidRDefault="00994945" w:rsidP="00F56B60">
      <w:pPr>
        <w:pStyle w:val="Level10"/>
        <w:numPr>
          <w:ilvl w:val="0"/>
          <w:numId w:val="3"/>
        </w:numPr>
        <w:tabs>
          <w:tab w:val="left" w:pos="720"/>
          <w:tab w:val="left" w:pos="1440"/>
        </w:tabs>
        <w:ind w:left="1440" w:hanging="720"/>
      </w:pPr>
      <w:r>
        <w:t>Report any allegations of an emergency nature immediately to SETA, followed by submission of an Incident Report as provided in Paragraph 1, above.</w:t>
      </w:r>
    </w:p>
    <w:p w:rsidR="00994945" w:rsidRDefault="00994945" w:rsidP="00F56B60">
      <w:pPr>
        <w:numPr>
          <w:ilvl w:val="12"/>
          <w:numId w:val="0"/>
        </w:numPr>
        <w:jc w:val="both"/>
        <w:rPr>
          <w:sz w:val="24"/>
          <w:szCs w:val="24"/>
        </w:rPr>
      </w:pPr>
    </w:p>
    <w:p w:rsidR="00994945" w:rsidRDefault="00994945" w:rsidP="00F56B60">
      <w:pPr>
        <w:pStyle w:val="Level10"/>
        <w:numPr>
          <w:ilvl w:val="0"/>
          <w:numId w:val="3"/>
        </w:numPr>
        <w:tabs>
          <w:tab w:val="left" w:pos="720"/>
          <w:tab w:val="left" w:pos="1440"/>
        </w:tabs>
        <w:ind w:left="1440" w:hanging="720"/>
      </w:pPr>
      <w:r>
        <w:t>Report and/or notify local law enforcement agencies immediately regarding all instances of criminal activity, followed by submission of an Incident Report as provided in Paragraph 1, above.</w:t>
      </w:r>
    </w:p>
    <w:p w:rsidR="00994945" w:rsidRDefault="00994945" w:rsidP="00F56B60">
      <w:pPr>
        <w:numPr>
          <w:ilvl w:val="12"/>
          <w:numId w:val="0"/>
        </w:numPr>
        <w:jc w:val="both"/>
        <w:rPr>
          <w:sz w:val="24"/>
          <w:szCs w:val="24"/>
        </w:rPr>
      </w:pPr>
    </w:p>
    <w:p w:rsidR="00994945" w:rsidRDefault="00994945" w:rsidP="00AD5103">
      <w:pPr>
        <w:pStyle w:val="Level10"/>
        <w:numPr>
          <w:ilvl w:val="0"/>
          <w:numId w:val="3"/>
        </w:numPr>
        <w:tabs>
          <w:tab w:val="left" w:pos="720"/>
          <w:tab w:val="left" w:pos="1440"/>
        </w:tabs>
        <w:ind w:left="1440" w:hanging="720"/>
      </w:pPr>
      <w:r>
        <w:t xml:space="preserve">In the case of alleged violations of this policy that involve programs, activities or </w:t>
      </w:r>
      <w:r>
        <w:lastRenderedPageBreak/>
        <w:t>services funded pursuant to the WI</w:t>
      </w:r>
      <w:r w:rsidR="00797000">
        <w:t>O</w:t>
      </w:r>
      <w:r>
        <w:t xml:space="preserve">A, SETA staff and any reporting </w:t>
      </w:r>
      <w:r w:rsidRPr="00AD5103">
        <w:rPr>
          <w:b/>
          <w:bCs/>
        </w:rPr>
        <w:t>lower-tier subrecipient</w:t>
      </w:r>
      <w:r>
        <w:t xml:space="preserve"> shall also submit a copy of the Incident Report to:</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sectPr w:rsidR="00994945" w:rsidSect="004E6C38">
          <w:type w:val="continuous"/>
          <w:pgSz w:w="12240" w:h="15840"/>
          <w:pgMar w:top="1008" w:right="1440" w:bottom="1008" w:left="1440" w:header="1440" w:footer="1440" w:gutter="0"/>
          <w:cols w:space="720"/>
        </w:sectPr>
      </w:pPr>
    </w:p>
    <w:p w:rsidR="00994945" w:rsidRDefault="00994945">
      <w:pPr>
        <w:spacing w:line="2" w:lineRule="exact"/>
        <w:rPr>
          <w:sz w:val="24"/>
          <w:szCs w:val="24"/>
        </w:rPr>
      </w:pPr>
    </w:p>
    <w:p w:rsidR="00994945" w:rsidRDefault="00994945" w:rsidP="00F56B6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Compliance Review Division, MIC22M</w:t>
      </w:r>
    </w:p>
    <w:p w:rsidR="00994945" w:rsidRDefault="00994945" w:rsidP="00F56B60">
      <w:pPr>
        <w:numPr>
          <w:ilvl w:val="12"/>
          <w:numId w:val="0"/>
        </w:numPr>
        <w:ind w:left="2160"/>
        <w:jc w:val="both"/>
        <w:rPr>
          <w:sz w:val="24"/>
          <w:szCs w:val="24"/>
        </w:rPr>
      </w:pPr>
      <w:r>
        <w:rPr>
          <w:sz w:val="24"/>
          <w:szCs w:val="24"/>
        </w:rPr>
        <w:t>Attention: Compliance Resolution Unit</w:t>
      </w:r>
    </w:p>
    <w:p w:rsidR="00994945" w:rsidRDefault="00994945" w:rsidP="00F56B60">
      <w:pPr>
        <w:numPr>
          <w:ilvl w:val="12"/>
          <w:numId w:val="0"/>
        </w:numPr>
        <w:ind w:left="2160"/>
        <w:jc w:val="both"/>
        <w:rPr>
          <w:sz w:val="24"/>
          <w:szCs w:val="24"/>
        </w:rPr>
      </w:pPr>
      <w:r>
        <w:rPr>
          <w:sz w:val="24"/>
          <w:szCs w:val="24"/>
        </w:rPr>
        <w:t>Employment Development Department</w:t>
      </w:r>
    </w:p>
    <w:p w:rsidR="00994945" w:rsidRDefault="00994945" w:rsidP="00F56B60">
      <w:pPr>
        <w:numPr>
          <w:ilvl w:val="12"/>
          <w:numId w:val="0"/>
        </w:numPr>
        <w:ind w:left="2160"/>
        <w:jc w:val="both"/>
        <w:rPr>
          <w:sz w:val="24"/>
          <w:szCs w:val="24"/>
        </w:rPr>
      </w:pPr>
      <w:r>
        <w:rPr>
          <w:sz w:val="24"/>
          <w:szCs w:val="24"/>
        </w:rPr>
        <w:t>P.O. Box 826880</w:t>
      </w:r>
    </w:p>
    <w:p w:rsidR="00994945" w:rsidRDefault="00994945" w:rsidP="00F56B60">
      <w:pPr>
        <w:numPr>
          <w:ilvl w:val="12"/>
          <w:numId w:val="0"/>
        </w:numPr>
        <w:ind w:left="2160"/>
        <w:jc w:val="both"/>
        <w:rPr>
          <w:sz w:val="24"/>
          <w:szCs w:val="24"/>
        </w:rPr>
      </w:pPr>
      <w:r>
        <w:rPr>
          <w:sz w:val="24"/>
          <w:szCs w:val="24"/>
        </w:rPr>
        <w:t>Sacramento, CA 94280</w:t>
      </w:r>
    </w:p>
    <w:p w:rsidR="004E6C38" w:rsidRDefault="004E6C38" w:rsidP="00F56B60">
      <w:pPr>
        <w:numPr>
          <w:ilvl w:val="12"/>
          <w:numId w:val="0"/>
        </w:numPr>
        <w:ind w:left="1440"/>
        <w:jc w:val="both"/>
        <w:rPr>
          <w:sz w:val="24"/>
          <w:szCs w:val="24"/>
        </w:rPr>
      </w:pPr>
    </w:p>
    <w:p w:rsidR="00994945" w:rsidRDefault="00994945" w:rsidP="00F56B60">
      <w:pPr>
        <w:numPr>
          <w:ilvl w:val="12"/>
          <w:numId w:val="0"/>
        </w:numPr>
        <w:ind w:left="1440"/>
        <w:jc w:val="both"/>
        <w:rPr>
          <w:sz w:val="24"/>
          <w:szCs w:val="24"/>
        </w:rPr>
      </w:pPr>
      <w:r>
        <w:rPr>
          <w:sz w:val="24"/>
          <w:szCs w:val="24"/>
        </w:rPr>
        <w:t xml:space="preserve">and to the Office of the Inspector General (OIG) at </w:t>
      </w:r>
      <w:hyperlink r:id="rId13" w:history="1">
        <w:r>
          <w:rPr>
            <w:rStyle w:val="SYSHYPERTEXT"/>
            <w:sz w:val="24"/>
            <w:szCs w:val="24"/>
          </w:rPr>
          <w:t>www.oig.dol.gov/hotnet1.htm,</w:t>
        </w:r>
      </w:hyperlink>
      <w:r>
        <w:rPr>
          <w:sz w:val="24"/>
          <w:szCs w:val="24"/>
        </w:rPr>
        <w:t xml:space="preserve"> by telephone at (800) 347-3756, by facsimile to (202) 693-</w:t>
      </w:r>
      <w:r w:rsidR="0026775D">
        <w:rPr>
          <w:sz w:val="24"/>
          <w:szCs w:val="24"/>
        </w:rPr>
        <w:t>7020</w:t>
      </w:r>
      <w:r>
        <w:rPr>
          <w:sz w:val="24"/>
          <w:szCs w:val="24"/>
        </w:rPr>
        <w:t>, or by mail to:</w:t>
      </w:r>
    </w:p>
    <w:p w:rsidR="00994945" w:rsidRDefault="00994945" w:rsidP="00F56B60">
      <w:pPr>
        <w:numPr>
          <w:ilvl w:val="12"/>
          <w:numId w:val="0"/>
        </w:numPr>
        <w:jc w:val="both"/>
        <w:rPr>
          <w:sz w:val="24"/>
          <w:szCs w:val="24"/>
        </w:rPr>
      </w:pPr>
    </w:p>
    <w:p w:rsidR="00994945" w:rsidRDefault="00994945" w:rsidP="00F56B6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Office of Inspector General</w:t>
      </w:r>
    </w:p>
    <w:p w:rsidR="00994945" w:rsidRDefault="00994945" w:rsidP="00F56B6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 xml:space="preserve">United States </w:t>
      </w:r>
      <w:r w:rsidR="00C5382B">
        <w:rPr>
          <w:sz w:val="24"/>
          <w:szCs w:val="24"/>
        </w:rPr>
        <w:t>D</w:t>
      </w:r>
      <w:r>
        <w:rPr>
          <w:sz w:val="24"/>
          <w:szCs w:val="24"/>
        </w:rPr>
        <w:t>epartment of Labor</w:t>
      </w:r>
    </w:p>
    <w:p w:rsidR="00994945" w:rsidRDefault="00994945" w:rsidP="00F56B6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200 Constitution Avenue, N.W., Room S-5506</w:t>
      </w:r>
    </w:p>
    <w:p w:rsidR="00994945" w:rsidRDefault="00994945" w:rsidP="00F56B6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r>
      <w:r>
        <w:rPr>
          <w:sz w:val="24"/>
          <w:szCs w:val="24"/>
        </w:rPr>
        <w:tab/>
        <w:t>Washington, D.C. 20210</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sz w:val="24"/>
          <w:szCs w:val="24"/>
        </w:rPr>
        <w:t>Allegations considered to be of an emergency nature should be reported by telephone to the Compliance Resolution Unit Supervisor at (916) 653-</w:t>
      </w:r>
      <w:r w:rsidR="0026775D">
        <w:rPr>
          <w:sz w:val="24"/>
          <w:szCs w:val="24"/>
        </w:rPr>
        <w:t>0298</w:t>
      </w:r>
      <w:r>
        <w:rPr>
          <w:sz w:val="24"/>
          <w:szCs w:val="24"/>
        </w:rPr>
        <w:t xml:space="preserve"> and by calling the OIG/DOL Hot Line at (800) 347-3756, followed immediately thereafter by a written Incident Report.</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sz w:val="24"/>
          <w:szCs w:val="24"/>
        </w:rPr>
        <w:t>Whenever the entity reporting the allegation of an incident believes that immediate action to prevent further financial loss or other damage is necessary, or recovery of funds or property may be impeded if immediate action is not taken, the reporting entity has the responsibility to take any action it deems appropriate, including contacting the local law enforcement agency.  Any immediate action taken or planned by the reporting entity must be reported to the Compliance Review Division when the Incident Report is submitted.</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sz w:val="24"/>
          <w:szCs w:val="24"/>
        </w:rPr>
        <w:t xml:space="preserve">During an investigation, based upon a report of fraud or abuse, the DOL/OIG investigator or auditors may contact SETA or a </w:t>
      </w:r>
      <w:r>
        <w:rPr>
          <w:b/>
          <w:bCs/>
          <w:sz w:val="24"/>
          <w:szCs w:val="24"/>
        </w:rPr>
        <w:t>lower-tier subrecipient</w:t>
      </w:r>
      <w:r>
        <w:rPr>
          <w:sz w:val="24"/>
          <w:szCs w:val="24"/>
        </w:rPr>
        <w:t xml:space="preserve"> regarding an incident of which SETA or the </w:t>
      </w:r>
      <w:r w:rsidRPr="00994945">
        <w:rPr>
          <w:b/>
          <w:bCs/>
          <w:sz w:val="24"/>
          <w:szCs w:val="24"/>
        </w:rPr>
        <w:t>lower-tier subrecipient</w:t>
      </w:r>
      <w:r>
        <w:rPr>
          <w:sz w:val="24"/>
          <w:szCs w:val="24"/>
        </w:rPr>
        <w:t xml:space="preserve"> was not previously aware.  Upon learning of such an incident from federal sources</w:t>
      </w:r>
      <w:r w:rsidR="008C380A">
        <w:rPr>
          <w:sz w:val="24"/>
          <w:szCs w:val="24"/>
        </w:rPr>
        <w:t>, the</w:t>
      </w:r>
      <w:r>
        <w:rPr>
          <w:sz w:val="24"/>
          <w:szCs w:val="24"/>
        </w:rPr>
        <w:t xml:space="preserve"> notified entity should contact CRD to determine whether the latter is aware of the </w:t>
      </w:r>
      <w:r w:rsidR="008C380A">
        <w:rPr>
          <w:sz w:val="24"/>
          <w:szCs w:val="24"/>
        </w:rPr>
        <w:t>incident</w:t>
      </w:r>
      <w:r>
        <w:rPr>
          <w:sz w:val="24"/>
          <w:szCs w:val="24"/>
        </w:rPr>
        <w:t>.  If the notified entity is not aware of the allegations, but CRD is, then the latter will, where appropriate, inform the former of the specific allegations contained in the Incident Report.</w:t>
      </w:r>
    </w:p>
    <w:p w:rsidR="00994945" w:rsidRDefault="00994945" w:rsidP="00F56B60">
      <w:pPr>
        <w:numPr>
          <w:ilvl w:val="12"/>
          <w:numId w:val="0"/>
        </w:numPr>
        <w:jc w:val="both"/>
        <w:rPr>
          <w:sz w:val="24"/>
          <w:szCs w:val="24"/>
        </w:rPr>
      </w:pPr>
    </w:p>
    <w:p w:rsidR="00994945" w:rsidRDefault="00994945" w:rsidP="00F56B60">
      <w:pPr>
        <w:pStyle w:val="Level10"/>
        <w:numPr>
          <w:ilvl w:val="0"/>
          <w:numId w:val="1"/>
        </w:numPr>
        <w:tabs>
          <w:tab w:val="left" w:pos="720"/>
        </w:tabs>
        <w:ind w:left="720" w:hanging="720"/>
      </w:pPr>
      <w:r>
        <w:t xml:space="preserve">SETA’s </w:t>
      </w:r>
      <w:r w:rsidR="0026775D">
        <w:t>Human Resources</w:t>
      </w:r>
      <w:r>
        <w:t xml:space="preserve"> Department Chief, or his designee, shall conduct such investigation as is deemed prudent to ensure that all Incident Reports are clear and concise and that all possible information has been gathered, including the amount of any monetary loss and all facts and/ or circumstances known at the time of the Incident Report.</w:t>
      </w:r>
    </w:p>
    <w:p w:rsidR="00994945" w:rsidRDefault="00994945" w:rsidP="00F56B60">
      <w:pPr>
        <w:numPr>
          <w:ilvl w:val="12"/>
          <w:numId w:val="0"/>
        </w:numPr>
        <w:jc w:val="both"/>
        <w:rPr>
          <w:sz w:val="24"/>
          <w:szCs w:val="24"/>
        </w:rPr>
      </w:pPr>
    </w:p>
    <w:p w:rsidR="00994945" w:rsidRDefault="00994945" w:rsidP="00F56B60">
      <w:pPr>
        <w:pStyle w:val="Level10"/>
        <w:numPr>
          <w:ilvl w:val="0"/>
          <w:numId w:val="1"/>
        </w:numPr>
        <w:tabs>
          <w:tab w:val="left" w:pos="720"/>
        </w:tabs>
        <w:ind w:left="720" w:hanging="720"/>
      </w:pPr>
      <w:r>
        <w:t xml:space="preserve">If any investigation confirms that a violation of this policy has occurred and that an employee of SETA or a </w:t>
      </w:r>
      <w:r>
        <w:rPr>
          <w:b/>
          <w:bCs/>
        </w:rPr>
        <w:t>lower-tier subrecipient</w:t>
      </w:r>
      <w:r>
        <w:t xml:space="preserve"> is involved in such a violation, appropriate disciplinary or corrective action shall be instituted.</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b/>
          <w:bCs/>
          <w:sz w:val="24"/>
          <w:szCs w:val="24"/>
        </w:rPr>
      </w:pPr>
      <w:r>
        <w:rPr>
          <w:b/>
          <w:bCs/>
          <w:sz w:val="24"/>
          <w:szCs w:val="24"/>
        </w:rPr>
        <w:lastRenderedPageBreak/>
        <w:t>ACTION</w:t>
      </w:r>
    </w:p>
    <w:p w:rsidR="00994945" w:rsidRDefault="00994945" w:rsidP="00F56B60">
      <w:pPr>
        <w:numPr>
          <w:ilvl w:val="12"/>
          <w:numId w:val="0"/>
        </w:numPr>
        <w:jc w:val="both"/>
        <w:rPr>
          <w:b/>
          <w:bCs/>
          <w:sz w:val="24"/>
          <w:szCs w:val="24"/>
        </w:rPr>
      </w:pPr>
    </w:p>
    <w:p w:rsidR="00994945" w:rsidRDefault="00994945" w:rsidP="00F56B60">
      <w:pPr>
        <w:numPr>
          <w:ilvl w:val="12"/>
          <w:numId w:val="0"/>
        </w:numPr>
        <w:jc w:val="both"/>
        <w:rPr>
          <w:sz w:val="24"/>
          <w:szCs w:val="24"/>
        </w:rPr>
      </w:pPr>
      <w:r>
        <w:rPr>
          <w:sz w:val="24"/>
          <w:szCs w:val="24"/>
        </w:rPr>
        <w:t>SETA’s Administrati</w:t>
      </w:r>
      <w:r w:rsidR="00C5382B">
        <w:rPr>
          <w:sz w:val="24"/>
          <w:szCs w:val="24"/>
        </w:rPr>
        <w:t>on</w:t>
      </w:r>
      <w:r>
        <w:rPr>
          <w:sz w:val="24"/>
          <w:szCs w:val="24"/>
        </w:rPr>
        <w:t xml:space="preserve"> Department Chief should insure that all affected SETA staff and </w:t>
      </w:r>
      <w:r>
        <w:rPr>
          <w:b/>
          <w:bCs/>
          <w:sz w:val="24"/>
          <w:szCs w:val="24"/>
        </w:rPr>
        <w:t>lower-tier subrecipients</w:t>
      </w:r>
      <w:r>
        <w:rPr>
          <w:sz w:val="24"/>
          <w:szCs w:val="24"/>
        </w:rPr>
        <w:t xml:space="preserve"> are made aware of this policy.</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b/>
          <w:bCs/>
          <w:sz w:val="24"/>
          <w:szCs w:val="24"/>
        </w:rPr>
        <w:t>INQUIRIES</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pPr>
      <w:r>
        <w:rPr>
          <w:sz w:val="24"/>
          <w:szCs w:val="24"/>
        </w:rPr>
        <w:t xml:space="preserve">If you have questions about the information contained in this Policy, you should contact SETA’s </w:t>
      </w:r>
      <w:r w:rsidR="0026775D">
        <w:rPr>
          <w:sz w:val="24"/>
          <w:szCs w:val="24"/>
        </w:rPr>
        <w:t>Human Resources</w:t>
      </w:r>
      <w:r>
        <w:rPr>
          <w:sz w:val="24"/>
          <w:szCs w:val="24"/>
        </w:rPr>
        <w:t xml:space="preserve"> De</w:t>
      </w:r>
      <w:r w:rsidR="004E6C38">
        <w:rPr>
          <w:sz w:val="24"/>
          <w:szCs w:val="24"/>
        </w:rPr>
        <w:t>p</w:t>
      </w:r>
      <w:r>
        <w:rPr>
          <w:sz w:val="24"/>
          <w:szCs w:val="24"/>
        </w:rPr>
        <w:t xml:space="preserve">artment Chief, </w:t>
      </w:r>
      <w:r w:rsidR="0026775D">
        <w:rPr>
          <w:sz w:val="24"/>
          <w:szCs w:val="24"/>
        </w:rPr>
        <w:t>at (916) 263-3658</w:t>
      </w:r>
      <w:r>
        <w:rPr>
          <w:sz w:val="24"/>
          <w:szCs w:val="24"/>
        </w:rPr>
        <w:t>.</w:t>
      </w:r>
    </w:p>
    <w:p w:rsidR="00994945" w:rsidRDefault="00994945" w:rsidP="00F56B60">
      <w:pPr>
        <w:numPr>
          <w:ilvl w:val="12"/>
          <w:numId w:val="0"/>
        </w:numPr>
        <w:jc w:val="both"/>
        <w:rPr>
          <w:sz w:val="24"/>
          <w:szCs w:val="24"/>
        </w:rPr>
      </w:pPr>
    </w:p>
    <w:p w:rsidR="00994945" w:rsidRDefault="00994945" w:rsidP="00F56B60">
      <w:pPr>
        <w:numPr>
          <w:ilvl w:val="12"/>
          <w:numId w:val="0"/>
        </w:numPr>
        <w:jc w:val="both"/>
        <w:rPr>
          <w:sz w:val="24"/>
          <w:szCs w:val="24"/>
        </w:rPr>
        <w:sectPr w:rsidR="00994945" w:rsidSect="004E6C38">
          <w:type w:val="continuous"/>
          <w:pgSz w:w="12240" w:h="15840"/>
          <w:pgMar w:top="1008" w:right="1440" w:bottom="1008" w:left="1440" w:header="1440" w:footer="1440" w:gutter="0"/>
          <w:cols w:space="720"/>
        </w:sectPr>
      </w:pPr>
    </w:p>
    <w:p w:rsidR="00994945" w:rsidRDefault="00994945">
      <w:pPr>
        <w:spacing w:line="2" w:lineRule="exact"/>
        <w:rPr>
          <w:sz w:val="24"/>
          <w:szCs w:val="24"/>
        </w:rPr>
      </w:pPr>
    </w:p>
    <w:p w:rsidR="00994945" w:rsidRDefault="004E6C38" w:rsidP="00F56B60">
      <w:pPr>
        <w:numPr>
          <w:ilvl w:val="12"/>
          <w:numId w:val="0"/>
        </w:numPr>
        <w:jc w:val="both"/>
        <w:rPr>
          <w:sz w:val="24"/>
          <w:szCs w:val="24"/>
        </w:rPr>
      </w:pPr>
      <w:r>
        <w:rPr>
          <w:sz w:val="24"/>
          <w:szCs w:val="24"/>
        </w:rPr>
        <w:br w:type="page"/>
      </w:r>
    </w:p>
    <w:p w:rsidR="004E6C38" w:rsidRDefault="004E6C38">
      <w:pPr>
        <w:pStyle w:val="Heading1"/>
        <w:jc w:val="center"/>
        <w:rPr>
          <w:b/>
          <w:bCs/>
        </w:rPr>
      </w:pPr>
      <w:r>
        <w:rPr>
          <w:b/>
          <w:bCs/>
        </w:rPr>
        <w:lastRenderedPageBreak/>
        <w:t>INCIDENT REPORT</w:t>
      </w:r>
    </w:p>
    <w:p w:rsidR="004E6C38" w:rsidRDefault="004E6C38">
      <w:pPr>
        <w:rPr>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860"/>
      </w:tblGrid>
      <w:tr w:rsidR="004E6C38">
        <w:tc>
          <w:tcPr>
            <w:tcW w:w="4698" w:type="dxa"/>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Type of report (check one)</w:t>
            </w:r>
          </w:p>
          <w:bookmarkStart w:id="0" w:name="Check1"/>
          <w:p w:rsidR="004E6C38" w:rsidRDefault="004E6C38">
            <w:pPr>
              <w:ind w:left="720" w:hanging="360"/>
            </w:pPr>
            <w:r>
              <w:fldChar w:fldCharType="begin">
                <w:ffData>
                  <w:name w:val="Check1"/>
                  <w:enabled/>
                  <w:calcOnExit w:val="0"/>
                  <w:checkBox>
                    <w:sizeAuto/>
                    <w:default w:val="0"/>
                  </w:checkBox>
                </w:ffData>
              </w:fldChar>
            </w:r>
            <w:r>
              <w:instrText xml:space="preserve"> FORMCHECKBOX </w:instrText>
            </w:r>
            <w:r w:rsidR="00AD5103">
              <w:fldChar w:fldCharType="separate"/>
            </w:r>
            <w:r>
              <w:fldChar w:fldCharType="end"/>
            </w:r>
            <w:bookmarkEnd w:id="0"/>
            <w:r>
              <w:tab/>
              <w:t>Initial</w:t>
            </w:r>
          </w:p>
          <w:bookmarkStart w:id="1" w:name="Check2"/>
          <w:p w:rsidR="004E6C38" w:rsidRDefault="004E6C38">
            <w:pPr>
              <w:ind w:left="720" w:hanging="360"/>
            </w:pPr>
            <w:r>
              <w:fldChar w:fldCharType="begin">
                <w:ffData>
                  <w:name w:val="Check2"/>
                  <w:enabled/>
                  <w:calcOnExit w:val="0"/>
                  <w:checkBox>
                    <w:sizeAuto/>
                    <w:default w:val="0"/>
                  </w:checkBox>
                </w:ffData>
              </w:fldChar>
            </w:r>
            <w:r>
              <w:instrText xml:space="preserve"> FORMCHECKBOX </w:instrText>
            </w:r>
            <w:r w:rsidR="00AD5103">
              <w:fldChar w:fldCharType="separate"/>
            </w:r>
            <w:r>
              <w:fldChar w:fldCharType="end"/>
            </w:r>
            <w:bookmarkEnd w:id="1"/>
            <w:r>
              <w:tab/>
              <w:t>Supplemental</w:t>
            </w:r>
          </w:p>
          <w:bookmarkStart w:id="2" w:name="Check3"/>
          <w:p w:rsidR="004E6C38" w:rsidRDefault="004E6C38">
            <w:pPr>
              <w:ind w:left="720" w:hanging="360"/>
            </w:pPr>
            <w:r>
              <w:fldChar w:fldCharType="begin">
                <w:ffData>
                  <w:name w:val="Check3"/>
                  <w:enabled/>
                  <w:calcOnExit w:val="0"/>
                  <w:checkBox>
                    <w:sizeAuto/>
                    <w:default w:val="0"/>
                  </w:checkBox>
                </w:ffData>
              </w:fldChar>
            </w:r>
            <w:r>
              <w:instrText xml:space="preserve"> FORMCHECKBOX </w:instrText>
            </w:r>
            <w:r w:rsidR="00AD5103">
              <w:fldChar w:fldCharType="separate"/>
            </w:r>
            <w:r>
              <w:fldChar w:fldCharType="end"/>
            </w:r>
            <w:bookmarkEnd w:id="2"/>
            <w:r>
              <w:tab/>
              <w:t>Final</w:t>
            </w:r>
          </w:p>
          <w:bookmarkStart w:id="3" w:name="Check4"/>
          <w:p w:rsidR="004E6C38" w:rsidRDefault="004E6C38">
            <w:pPr>
              <w:ind w:left="720" w:hanging="360"/>
            </w:pPr>
            <w:r>
              <w:fldChar w:fldCharType="begin">
                <w:ffData>
                  <w:name w:val="Check4"/>
                  <w:enabled/>
                  <w:calcOnExit w:val="0"/>
                  <w:checkBox>
                    <w:sizeAuto/>
                    <w:default w:val="0"/>
                  </w:checkBox>
                </w:ffData>
              </w:fldChar>
            </w:r>
            <w:r>
              <w:instrText xml:space="preserve"> FORMCHECKBOX </w:instrText>
            </w:r>
            <w:r w:rsidR="00AD5103">
              <w:fldChar w:fldCharType="separate"/>
            </w:r>
            <w:r>
              <w:fldChar w:fldCharType="end"/>
            </w:r>
            <w:bookmarkEnd w:id="3"/>
            <w:r>
              <w:tab/>
              <w:t xml:space="preserve">Other </w:t>
            </w:r>
            <w:bookmarkStart w:id="4" w:name="Text1"/>
            <w:r>
              <w:rPr>
                <w:i/>
                <w:iCs/>
              </w:rPr>
              <w:fldChar w:fldCharType="begin">
                <w:ffData>
                  <w:name w:val="Text1"/>
                  <w:enabled/>
                  <w:calcOnExit w:val="0"/>
                  <w:textInput>
                    <w:default w:val="[specify]"/>
                  </w:textInput>
                </w:ffData>
              </w:fldChar>
            </w:r>
            <w:r>
              <w:rPr>
                <w:i/>
                <w:iCs/>
              </w:rPr>
              <w:instrText xml:space="preserve"> FORMTEXT </w:instrText>
            </w:r>
            <w:r>
              <w:rPr>
                <w:i/>
                <w:iCs/>
              </w:rPr>
            </w:r>
            <w:r>
              <w:rPr>
                <w:i/>
                <w:iCs/>
              </w:rPr>
              <w:fldChar w:fldCharType="separate"/>
            </w:r>
            <w:r>
              <w:rPr>
                <w:i/>
                <w:iCs/>
                <w:noProof/>
              </w:rPr>
              <w:t>[specify]</w:t>
            </w:r>
            <w:r>
              <w:rPr>
                <w:i/>
                <w:iCs/>
              </w:rPr>
              <w:fldChar w:fldCharType="end"/>
            </w:r>
            <w:bookmarkEnd w:id="4"/>
            <w:r>
              <w:t xml:space="preserve"> </w:t>
            </w:r>
          </w:p>
        </w:tc>
        <w:tc>
          <w:tcPr>
            <w:tcW w:w="4860" w:type="dxa"/>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Type of incident (check one)</w:t>
            </w:r>
          </w:p>
          <w:bookmarkStart w:id="5" w:name="Check5"/>
          <w:p w:rsidR="004E6C38" w:rsidRDefault="004E6C38">
            <w:pPr>
              <w:ind w:left="785" w:hanging="375"/>
              <w:jc w:val="both"/>
            </w:pPr>
            <w:r>
              <w:fldChar w:fldCharType="begin">
                <w:ffData>
                  <w:name w:val="Check5"/>
                  <w:enabled/>
                  <w:calcOnExit w:val="0"/>
                  <w:checkBox>
                    <w:sizeAuto/>
                    <w:default w:val="0"/>
                  </w:checkBox>
                </w:ffData>
              </w:fldChar>
            </w:r>
            <w:r>
              <w:instrText xml:space="preserve"> FORMCHECKBOX </w:instrText>
            </w:r>
            <w:r w:rsidR="00AD5103">
              <w:fldChar w:fldCharType="separate"/>
            </w:r>
            <w:r>
              <w:fldChar w:fldCharType="end"/>
            </w:r>
            <w:bookmarkEnd w:id="5"/>
            <w:r>
              <w:tab/>
              <w:t>Conduct violation</w:t>
            </w:r>
          </w:p>
          <w:bookmarkStart w:id="6" w:name="Check6"/>
          <w:p w:rsidR="004E6C38" w:rsidRDefault="004E6C38">
            <w:pPr>
              <w:ind w:left="785" w:hanging="375"/>
              <w:jc w:val="both"/>
            </w:pPr>
            <w:r>
              <w:fldChar w:fldCharType="begin">
                <w:ffData>
                  <w:name w:val="Check6"/>
                  <w:enabled/>
                  <w:calcOnExit w:val="0"/>
                  <w:checkBox>
                    <w:sizeAuto/>
                    <w:default w:val="0"/>
                  </w:checkBox>
                </w:ffData>
              </w:fldChar>
            </w:r>
            <w:r>
              <w:instrText xml:space="preserve"> FORMCHECKBOX </w:instrText>
            </w:r>
            <w:r w:rsidR="00AD5103">
              <w:fldChar w:fldCharType="separate"/>
            </w:r>
            <w:r>
              <w:fldChar w:fldCharType="end"/>
            </w:r>
            <w:bookmarkEnd w:id="6"/>
            <w:r>
              <w:tab/>
              <w:t>Criminal violation</w:t>
            </w:r>
          </w:p>
          <w:bookmarkStart w:id="7" w:name="Check7"/>
          <w:p w:rsidR="004E6C38" w:rsidRDefault="004E6C38">
            <w:pPr>
              <w:spacing w:after="120"/>
              <w:ind w:left="785" w:hanging="375"/>
              <w:jc w:val="both"/>
            </w:pPr>
            <w:r>
              <w:fldChar w:fldCharType="begin">
                <w:ffData>
                  <w:name w:val="Check7"/>
                  <w:enabled/>
                  <w:calcOnExit w:val="0"/>
                  <w:checkBox>
                    <w:sizeAuto/>
                    <w:default w:val="0"/>
                  </w:checkBox>
                </w:ffData>
              </w:fldChar>
            </w:r>
            <w:r>
              <w:instrText xml:space="preserve"> FORMCHECKBOX </w:instrText>
            </w:r>
            <w:r w:rsidR="00AD5103">
              <w:fldChar w:fldCharType="separate"/>
            </w:r>
            <w:r>
              <w:fldChar w:fldCharType="end"/>
            </w:r>
            <w:bookmarkEnd w:id="7"/>
            <w:r>
              <w:tab/>
              <w:t>Program violation</w:t>
            </w:r>
          </w:p>
        </w:tc>
      </w:tr>
      <w:tr w:rsidR="004E6C38">
        <w:trPr>
          <w:trHeight w:hRule="exact" w:val="2160"/>
        </w:trPr>
        <w:tc>
          <w:tcPr>
            <w:tcW w:w="9558" w:type="dxa"/>
            <w:gridSpan w:val="2"/>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Allegation against (check one)</w:t>
            </w:r>
          </w:p>
          <w:bookmarkStart w:id="8" w:name="Check8"/>
          <w:p w:rsidR="004E6C38" w:rsidRDefault="004E6C38">
            <w:pPr>
              <w:ind w:left="720" w:hanging="360"/>
              <w:jc w:val="both"/>
            </w:pPr>
            <w:r>
              <w:fldChar w:fldCharType="begin">
                <w:ffData>
                  <w:name w:val="Check8"/>
                  <w:enabled/>
                  <w:calcOnExit w:val="0"/>
                  <w:checkBox>
                    <w:sizeAuto/>
                    <w:default w:val="0"/>
                  </w:checkBox>
                </w:ffData>
              </w:fldChar>
            </w:r>
            <w:r>
              <w:instrText xml:space="preserve"> FORMCHECKBOX </w:instrText>
            </w:r>
            <w:r w:rsidR="00AD5103">
              <w:fldChar w:fldCharType="separate"/>
            </w:r>
            <w:r>
              <w:fldChar w:fldCharType="end"/>
            </w:r>
            <w:bookmarkEnd w:id="8"/>
            <w:r>
              <w:tab/>
              <w:t>Contractor</w:t>
            </w:r>
          </w:p>
          <w:bookmarkStart w:id="9" w:name="Check9"/>
          <w:p w:rsidR="004E6C38" w:rsidRDefault="004E6C38">
            <w:pPr>
              <w:ind w:left="720" w:hanging="360"/>
              <w:jc w:val="both"/>
            </w:pPr>
            <w:r>
              <w:fldChar w:fldCharType="begin">
                <w:ffData>
                  <w:name w:val="Check9"/>
                  <w:enabled/>
                  <w:calcOnExit w:val="0"/>
                  <w:checkBox>
                    <w:sizeAuto/>
                    <w:default w:val="0"/>
                  </w:checkBox>
                </w:ffData>
              </w:fldChar>
            </w:r>
            <w:r>
              <w:instrText xml:space="preserve"> FORMCHECKBOX </w:instrText>
            </w:r>
            <w:r w:rsidR="00AD5103">
              <w:fldChar w:fldCharType="separate"/>
            </w:r>
            <w:r>
              <w:fldChar w:fldCharType="end"/>
            </w:r>
            <w:bookmarkEnd w:id="9"/>
            <w:r>
              <w:tab/>
              <w:t>Program Participant</w:t>
            </w:r>
          </w:p>
          <w:bookmarkStart w:id="10" w:name="Check10"/>
          <w:p w:rsidR="004E6C38" w:rsidRDefault="004E6C38">
            <w:pPr>
              <w:ind w:left="720" w:hanging="360"/>
              <w:jc w:val="both"/>
            </w:pPr>
            <w:r>
              <w:fldChar w:fldCharType="begin">
                <w:ffData>
                  <w:name w:val="Check10"/>
                  <w:enabled/>
                  <w:calcOnExit w:val="0"/>
                  <w:checkBox>
                    <w:sizeAuto/>
                    <w:default w:val="0"/>
                  </w:checkBox>
                </w:ffData>
              </w:fldChar>
            </w:r>
            <w:r>
              <w:instrText xml:space="preserve"> FORMCHECKBOX </w:instrText>
            </w:r>
            <w:r w:rsidR="00AD5103">
              <w:fldChar w:fldCharType="separate"/>
            </w:r>
            <w:r>
              <w:fldChar w:fldCharType="end"/>
            </w:r>
            <w:bookmarkEnd w:id="10"/>
            <w:r>
              <w:tab/>
              <w:t xml:space="preserve">Other </w:t>
            </w:r>
            <w:bookmarkStart w:id="11" w:name="Text2"/>
            <w:r>
              <w:rPr>
                <w:i/>
                <w:iCs/>
              </w:rPr>
              <w:fldChar w:fldCharType="begin">
                <w:ffData>
                  <w:name w:val="Text2"/>
                  <w:enabled/>
                  <w:calcOnExit w:val="0"/>
                  <w:textInput>
                    <w:default w:val="[(specify), give name and position of employee(s), list telephone number, Social Security Account number, if applicable, and other identifying data.]"/>
                  </w:textInput>
                </w:ffData>
              </w:fldChar>
            </w:r>
            <w:r>
              <w:rPr>
                <w:i/>
                <w:iCs/>
              </w:rPr>
              <w:instrText xml:space="preserve"> FORMTEXT </w:instrText>
            </w:r>
            <w:r>
              <w:rPr>
                <w:i/>
                <w:iCs/>
              </w:rPr>
            </w:r>
            <w:r>
              <w:rPr>
                <w:i/>
                <w:iCs/>
              </w:rPr>
              <w:fldChar w:fldCharType="separate"/>
            </w:r>
            <w:r>
              <w:rPr>
                <w:i/>
                <w:iCs/>
                <w:noProof/>
              </w:rPr>
              <w:t>[(specify), give name and position of employee(s), list telephone number, Social Security Account number, if applicable, and other identifying data.]</w:t>
            </w:r>
            <w:r>
              <w:rPr>
                <w:i/>
                <w:iCs/>
              </w:rPr>
              <w:fldChar w:fldCharType="end"/>
            </w:r>
            <w:bookmarkEnd w:id="11"/>
          </w:p>
        </w:tc>
      </w:tr>
      <w:tr w:rsidR="004E6C38">
        <w:trPr>
          <w:trHeight w:hRule="exact" w:val="1440"/>
        </w:trPr>
        <w:tc>
          <w:tcPr>
            <w:tcW w:w="9558" w:type="dxa"/>
            <w:gridSpan w:val="2"/>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 xml:space="preserve">Location of incident  </w:t>
            </w:r>
          </w:p>
          <w:bookmarkStart w:id="12" w:name="Text3"/>
          <w:p w:rsidR="004E6C38" w:rsidRDefault="004E6C38">
            <w:pPr>
              <w:spacing w:after="120"/>
              <w:ind w:left="360"/>
              <w:jc w:val="both"/>
              <w:rPr>
                <w:i/>
                <w:iCs/>
              </w:rPr>
            </w:pPr>
            <w:r>
              <w:rPr>
                <w:i/>
                <w:iCs/>
              </w:rPr>
              <w:fldChar w:fldCharType="begin">
                <w:ffData>
                  <w:name w:val="Text3"/>
                  <w:enabled/>
                  <w:calcOnExit w:val="0"/>
                  <w:textInput>
                    <w:default w:val="[give complete name(s) and addresses of organizations(s) involved]"/>
                  </w:textInput>
                </w:ffData>
              </w:fldChar>
            </w:r>
            <w:r>
              <w:rPr>
                <w:i/>
                <w:iCs/>
              </w:rPr>
              <w:instrText xml:space="preserve"> FORMTEXT </w:instrText>
            </w:r>
            <w:r>
              <w:rPr>
                <w:i/>
                <w:iCs/>
              </w:rPr>
            </w:r>
            <w:r>
              <w:rPr>
                <w:i/>
                <w:iCs/>
              </w:rPr>
              <w:fldChar w:fldCharType="separate"/>
            </w:r>
            <w:r>
              <w:rPr>
                <w:i/>
                <w:iCs/>
                <w:noProof/>
              </w:rPr>
              <w:t>[give complete name(s) and addresses of organizations(s) involved]</w:t>
            </w:r>
            <w:r>
              <w:rPr>
                <w:i/>
                <w:iCs/>
              </w:rPr>
              <w:fldChar w:fldCharType="end"/>
            </w:r>
            <w:bookmarkEnd w:id="12"/>
          </w:p>
        </w:tc>
      </w:tr>
      <w:tr w:rsidR="004E6C38">
        <w:tc>
          <w:tcPr>
            <w:tcW w:w="9558" w:type="dxa"/>
            <w:gridSpan w:val="2"/>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 xml:space="preserve">Date and time of incident/discovery  </w:t>
            </w:r>
            <w:bookmarkStart w:id="13" w:name="Text4"/>
            <w:r>
              <w:rPr>
                <w:i/>
                <w:iCs/>
              </w:rPr>
              <w:fldChar w:fldCharType="begin">
                <w:ffData>
                  <w:name w:val="Text4"/>
                  <w:enabled/>
                  <w:calcOnExit w:val="0"/>
                  <w:textInput>
                    <w:default w:val="[date, time]"/>
                  </w:textInput>
                </w:ffData>
              </w:fldChar>
            </w:r>
            <w:r>
              <w:rPr>
                <w:i/>
                <w:iCs/>
              </w:rPr>
              <w:instrText xml:space="preserve"> FORMTEXT </w:instrText>
            </w:r>
            <w:r>
              <w:rPr>
                <w:i/>
                <w:iCs/>
              </w:rPr>
            </w:r>
            <w:r>
              <w:rPr>
                <w:i/>
                <w:iCs/>
              </w:rPr>
              <w:fldChar w:fldCharType="separate"/>
            </w:r>
            <w:r>
              <w:rPr>
                <w:i/>
                <w:iCs/>
                <w:noProof/>
              </w:rPr>
              <w:t>[date, time]</w:t>
            </w:r>
            <w:r>
              <w:rPr>
                <w:i/>
                <w:iCs/>
              </w:rPr>
              <w:fldChar w:fldCharType="end"/>
            </w:r>
            <w:bookmarkEnd w:id="13"/>
          </w:p>
        </w:tc>
      </w:tr>
      <w:tr w:rsidR="004E6C38">
        <w:tc>
          <w:tcPr>
            <w:tcW w:w="9558" w:type="dxa"/>
            <w:gridSpan w:val="2"/>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Source of complaint (check one)</w:t>
            </w:r>
          </w:p>
          <w:bookmarkStart w:id="14" w:name="Check14"/>
          <w:p w:rsidR="004E6C38" w:rsidRDefault="004E6C38">
            <w:pPr>
              <w:spacing w:after="60"/>
              <w:ind w:left="720" w:hanging="360"/>
              <w:jc w:val="both"/>
            </w:pPr>
            <w:r>
              <w:fldChar w:fldCharType="begin">
                <w:ffData>
                  <w:name w:val="Check14"/>
                  <w:enabled/>
                  <w:calcOnExit w:val="0"/>
                  <w:checkBox>
                    <w:sizeAuto/>
                    <w:default w:val="0"/>
                  </w:checkBox>
                </w:ffData>
              </w:fldChar>
            </w:r>
            <w:r>
              <w:instrText xml:space="preserve"> FORMCHECKBOX </w:instrText>
            </w:r>
            <w:r w:rsidR="00AD5103">
              <w:fldChar w:fldCharType="separate"/>
            </w:r>
            <w:r>
              <w:fldChar w:fldCharType="end"/>
            </w:r>
            <w:bookmarkEnd w:id="14"/>
            <w:r>
              <w:tab/>
              <w:t xml:space="preserve">Audit     </w:t>
            </w:r>
            <w:bookmarkStart w:id="15" w:name="Check12"/>
            <w:r>
              <w:fldChar w:fldCharType="begin">
                <w:ffData>
                  <w:name w:val="Check12"/>
                  <w:enabled/>
                  <w:calcOnExit w:val="0"/>
                  <w:checkBox>
                    <w:sizeAuto/>
                    <w:default w:val="0"/>
                  </w:checkBox>
                </w:ffData>
              </w:fldChar>
            </w:r>
            <w:r>
              <w:instrText xml:space="preserve"> FORMCHECKBOX </w:instrText>
            </w:r>
            <w:r w:rsidR="00AD5103">
              <w:fldChar w:fldCharType="separate"/>
            </w:r>
            <w:r>
              <w:fldChar w:fldCharType="end"/>
            </w:r>
            <w:bookmarkEnd w:id="15"/>
            <w:r>
              <w:t xml:space="preserve">  Contractor     </w:t>
            </w:r>
            <w:bookmarkStart w:id="16" w:name="Check13"/>
            <w:r>
              <w:fldChar w:fldCharType="begin">
                <w:ffData>
                  <w:name w:val="Check13"/>
                  <w:enabled/>
                  <w:calcOnExit w:val="0"/>
                  <w:checkBox>
                    <w:sizeAuto/>
                    <w:default w:val="0"/>
                  </w:checkBox>
                </w:ffData>
              </w:fldChar>
            </w:r>
            <w:r>
              <w:instrText xml:space="preserve"> FORMCHECKBOX </w:instrText>
            </w:r>
            <w:r w:rsidR="00AD5103">
              <w:fldChar w:fldCharType="separate"/>
            </w:r>
            <w:r>
              <w:fldChar w:fldCharType="end"/>
            </w:r>
            <w:bookmarkEnd w:id="16"/>
            <w:r>
              <w:t xml:space="preserve">  Program Participant    </w:t>
            </w:r>
            <w:bookmarkStart w:id="17" w:name="Check11"/>
            <w:r>
              <w:fldChar w:fldCharType="begin">
                <w:ffData>
                  <w:name w:val="Check11"/>
                  <w:enabled/>
                  <w:calcOnExit w:val="0"/>
                  <w:checkBox>
                    <w:sizeAuto/>
                    <w:default w:val="0"/>
                  </w:checkBox>
                </w:ffData>
              </w:fldChar>
            </w:r>
            <w:r>
              <w:instrText xml:space="preserve"> FORMCHECKBOX </w:instrText>
            </w:r>
            <w:r w:rsidR="00AD5103">
              <w:fldChar w:fldCharType="separate"/>
            </w:r>
            <w:r>
              <w:fldChar w:fldCharType="end"/>
            </w:r>
            <w:bookmarkEnd w:id="17"/>
            <w:r>
              <w:t xml:space="preserve">  Public</w:t>
            </w:r>
          </w:p>
          <w:bookmarkStart w:id="18" w:name="Check15"/>
          <w:p w:rsidR="004E6C38" w:rsidRDefault="004E6C38">
            <w:pPr>
              <w:spacing w:after="60"/>
              <w:ind w:left="720" w:hanging="360"/>
              <w:jc w:val="both"/>
            </w:pPr>
            <w:r>
              <w:fldChar w:fldCharType="begin">
                <w:ffData>
                  <w:name w:val="Check15"/>
                  <w:enabled/>
                  <w:calcOnExit w:val="0"/>
                  <w:checkBox>
                    <w:sizeAuto/>
                    <w:default w:val="0"/>
                  </w:checkBox>
                </w:ffData>
              </w:fldChar>
            </w:r>
            <w:r>
              <w:instrText xml:space="preserve"> FORMCHECKBOX </w:instrText>
            </w:r>
            <w:r w:rsidR="00AD5103">
              <w:fldChar w:fldCharType="separate"/>
            </w:r>
            <w:r>
              <w:fldChar w:fldCharType="end"/>
            </w:r>
            <w:bookmarkEnd w:id="18"/>
            <w:r>
              <w:tab/>
              <w:t xml:space="preserve">Investigative Law Enforcement Agency </w:t>
            </w:r>
            <w:bookmarkStart w:id="19" w:name="Text5"/>
            <w:r>
              <w:rPr>
                <w:i/>
                <w:iCs/>
              </w:rPr>
              <w:fldChar w:fldCharType="begin">
                <w:ffData>
                  <w:name w:val="Text5"/>
                  <w:enabled/>
                  <w:calcOnExit w:val="0"/>
                  <w:textInput>
                    <w:default w:val="[(specify)]"/>
                  </w:textInput>
                </w:ffData>
              </w:fldChar>
            </w:r>
            <w:r>
              <w:rPr>
                <w:i/>
                <w:iCs/>
              </w:rPr>
              <w:instrText xml:space="preserve"> FORMTEXT </w:instrText>
            </w:r>
            <w:r>
              <w:rPr>
                <w:i/>
                <w:iCs/>
              </w:rPr>
            </w:r>
            <w:r>
              <w:rPr>
                <w:i/>
                <w:iCs/>
              </w:rPr>
              <w:fldChar w:fldCharType="separate"/>
            </w:r>
            <w:r>
              <w:rPr>
                <w:i/>
                <w:iCs/>
                <w:noProof/>
              </w:rPr>
              <w:t>[(specify)]</w:t>
            </w:r>
            <w:r>
              <w:rPr>
                <w:i/>
                <w:iCs/>
              </w:rPr>
              <w:fldChar w:fldCharType="end"/>
            </w:r>
            <w:bookmarkEnd w:id="19"/>
          </w:p>
          <w:bookmarkStart w:id="20" w:name="Check16"/>
          <w:p w:rsidR="004E6C38" w:rsidRDefault="004E6C38">
            <w:pPr>
              <w:spacing w:after="120"/>
              <w:ind w:left="720" w:hanging="360"/>
              <w:jc w:val="both"/>
            </w:pPr>
            <w:r>
              <w:fldChar w:fldCharType="begin">
                <w:ffData>
                  <w:name w:val="Check16"/>
                  <w:enabled/>
                  <w:calcOnExit w:val="0"/>
                  <w:checkBox>
                    <w:sizeAuto/>
                    <w:default w:val="0"/>
                  </w:checkBox>
                </w:ffData>
              </w:fldChar>
            </w:r>
            <w:r>
              <w:instrText xml:space="preserve"> FORMCHECKBOX </w:instrText>
            </w:r>
            <w:r w:rsidR="00AD5103">
              <w:fldChar w:fldCharType="separate"/>
            </w:r>
            <w:r>
              <w:fldChar w:fldCharType="end"/>
            </w:r>
            <w:bookmarkEnd w:id="20"/>
            <w:r>
              <w:tab/>
              <w:t xml:space="preserve">Other </w:t>
            </w:r>
            <w:bookmarkStart w:id="21" w:name="Text6"/>
            <w:r>
              <w:rPr>
                <w:i/>
                <w:iCs/>
              </w:rPr>
              <w:fldChar w:fldCharType="begin">
                <w:ffData>
                  <w:name w:val="Text6"/>
                  <w:enabled/>
                  <w:calcOnExit w:val="0"/>
                  <w:textInput>
                    <w:default w:val="[(specify), give name and telephone number so additional information can be obtained.]"/>
                  </w:textInput>
                </w:ffData>
              </w:fldChar>
            </w:r>
            <w:r>
              <w:rPr>
                <w:i/>
                <w:iCs/>
              </w:rPr>
              <w:instrText xml:space="preserve"> FORMTEXT </w:instrText>
            </w:r>
            <w:r>
              <w:rPr>
                <w:i/>
                <w:iCs/>
              </w:rPr>
            </w:r>
            <w:r>
              <w:rPr>
                <w:i/>
                <w:iCs/>
              </w:rPr>
              <w:fldChar w:fldCharType="separate"/>
            </w:r>
            <w:r>
              <w:rPr>
                <w:i/>
                <w:iCs/>
                <w:noProof/>
              </w:rPr>
              <w:t>[(specify), give name and telephone number so additional information can be obtained.]</w:t>
            </w:r>
            <w:r>
              <w:rPr>
                <w:i/>
                <w:iCs/>
              </w:rPr>
              <w:fldChar w:fldCharType="end"/>
            </w:r>
            <w:bookmarkEnd w:id="21"/>
            <w:r>
              <w:t xml:space="preserve"> </w:t>
            </w:r>
          </w:p>
        </w:tc>
      </w:tr>
      <w:tr w:rsidR="004E6C38">
        <w:trPr>
          <w:trHeight w:hRule="exact" w:val="2160"/>
        </w:trPr>
        <w:tc>
          <w:tcPr>
            <w:tcW w:w="9558" w:type="dxa"/>
            <w:gridSpan w:val="2"/>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t>Contacts with law enforcement agencies</w:t>
            </w:r>
          </w:p>
          <w:bookmarkStart w:id="22" w:name="Text8"/>
          <w:p w:rsidR="004E6C38" w:rsidRDefault="004E6C38">
            <w:pPr>
              <w:spacing w:after="120"/>
              <w:ind w:left="360"/>
              <w:jc w:val="both"/>
              <w:rPr>
                <w:i/>
                <w:iCs/>
              </w:rPr>
            </w:pPr>
            <w:r>
              <w:rPr>
                <w:i/>
                <w:iCs/>
              </w:rPr>
              <w:fldChar w:fldCharType="begin">
                <w:ffData>
                  <w:name w:val="Text8"/>
                  <w:enabled/>
                  <w:calcOnExit w:val="0"/>
                  <w:textInput>
                    <w:default w:val="[specify name(s) and agency contacted and results]"/>
                  </w:textInput>
                </w:ffData>
              </w:fldChar>
            </w:r>
            <w:r>
              <w:rPr>
                <w:i/>
                <w:iCs/>
              </w:rPr>
              <w:instrText xml:space="preserve"> FORMTEXT </w:instrText>
            </w:r>
            <w:r>
              <w:rPr>
                <w:i/>
                <w:iCs/>
              </w:rPr>
            </w:r>
            <w:r>
              <w:rPr>
                <w:i/>
                <w:iCs/>
              </w:rPr>
              <w:fldChar w:fldCharType="separate"/>
            </w:r>
            <w:r>
              <w:rPr>
                <w:i/>
                <w:iCs/>
                <w:noProof/>
              </w:rPr>
              <w:t>[specify name(s) and agency contacted and results]</w:t>
            </w:r>
            <w:r>
              <w:rPr>
                <w:i/>
                <w:iCs/>
              </w:rPr>
              <w:fldChar w:fldCharType="end"/>
            </w:r>
            <w:bookmarkEnd w:id="22"/>
          </w:p>
        </w:tc>
      </w:tr>
      <w:tr w:rsidR="004E6C38">
        <w:trPr>
          <w:trHeight w:hRule="exact" w:val="1440"/>
        </w:trPr>
        <w:tc>
          <w:tcPr>
            <w:tcW w:w="9558" w:type="dxa"/>
            <w:gridSpan w:val="2"/>
          </w:tcPr>
          <w:p w:rsidR="004E6C38" w:rsidRDefault="004E6C38" w:rsidP="004E6C38">
            <w:pPr>
              <w:widowControl/>
              <w:numPr>
                <w:ilvl w:val="0"/>
                <w:numId w:val="6"/>
              </w:numPr>
              <w:tabs>
                <w:tab w:val="clear" w:pos="720"/>
                <w:tab w:val="num" w:pos="360"/>
              </w:tabs>
              <w:autoSpaceDE/>
              <w:autoSpaceDN/>
              <w:adjustRightInd/>
              <w:spacing w:after="120"/>
              <w:ind w:left="360"/>
              <w:jc w:val="both"/>
            </w:pPr>
            <w:r>
              <w:t xml:space="preserve">Persons who can provide additional information </w:t>
            </w:r>
          </w:p>
          <w:bookmarkStart w:id="23" w:name="Text15"/>
          <w:p w:rsidR="004E6C38" w:rsidRDefault="004E6C38">
            <w:pPr>
              <w:spacing w:after="120"/>
              <w:ind w:left="360"/>
              <w:jc w:val="both"/>
            </w:pPr>
            <w:r>
              <w:rPr>
                <w:i/>
                <w:iCs/>
              </w:rPr>
              <w:fldChar w:fldCharType="begin">
                <w:ffData>
                  <w:name w:val="Text15"/>
                  <w:enabled/>
                  <w:calcOnExit w:val="0"/>
                  <w:textInput>
                    <w:default w:val="[(include custodian of records) name, position or job title, employment, local address (street, city and state) or organization, if employed and telephone number]"/>
                  </w:textInput>
                </w:ffData>
              </w:fldChar>
            </w:r>
            <w:r>
              <w:rPr>
                <w:i/>
                <w:iCs/>
              </w:rPr>
              <w:instrText xml:space="preserve"> FORMTEXT </w:instrText>
            </w:r>
            <w:r>
              <w:rPr>
                <w:i/>
                <w:iCs/>
              </w:rPr>
            </w:r>
            <w:r>
              <w:rPr>
                <w:i/>
                <w:iCs/>
              </w:rPr>
              <w:fldChar w:fldCharType="separate"/>
            </w:r>
            <w:r>
              <w:rPr>
                <w:i/>
                <w:iCs/>
                <w:noProof/>
              </w:rPr>
              <w:t>[(include custodian of records) name, position or job title, employment, local address (street, city and state) or organization, if employed and telephone number]</w:t>
            </w:r>
            <w:r>
              <w:rPr>
                <w:i/>
                <w:iCs/>
              </w:rPr>
              <w:fldChar w:fldCharType="end"/>
            </w:r>
            <w:bookmarkEnd w:id="23"/>
          </w:p>
        </w:tc>
      </w:tr>
      <w:tr w:rsidR="004E6C38">
        <w:trPr>
          <w:trHeight w:hRule="exact" w:val="2880"/>
        </w:trPr>
        <w:tc>
          <w:tcPr>
            <w:tcW w:w="9558" w:type="dxa"/>
            <w:gridSpan w:val="2"/>
          </w:tcPr>
          <w:p w:rsidR="004E6C38" w:rsidRDefault="004E6C38" w:rsidP="004E6C38">
            <w:pPr>
              <w:widowControl/>
              <w:numPr>
                <w:ilvl w:val="0"/>
                <w:numId w:val="6"/>
              </w:numPr>
              <w:tabs>
                <w:tab w:val="clear" w:pos="720"/>
                <w:tab w:val="num" w:pos="360"/>
              </w:tabs>
              <w:autoSpaceDE/>
              <w:autoSpaceDN/>
              <w:adjustRightInd/>
              <w:spacing w:before="40" w:after="60"/>
              <w:ind w:left="360"/>
              <w:jc w:val="both"/>
            </w:pPr>
            <w:r>
              <w:lastRenderedPageBreak/>
              <w:t>Details of incident</w:t>
            </w:r>
          </w:p>
          <w:bookmarkStart w:id="24" w:name="Text14"/>
          <w:p w:rsidR="004E6C38" w:rsidRDefault="004E6C38">
            <w:pPr>
              <w:spacing w:after="120"/>
              <w:ind w:left="360"/>
              <w:jc w:val="both"/>
              <w:rPr>
                <w:i/>
                <w:iCs/>
              </w:rPr>
            </w:pPr>
            <w:r>
              <w:rPr>
                <w:i/>
                <w:iCs/>
              </w:rPr>
              <w:fldChar w:fldCharType="begin">
                <w:ffData>
                  <w:name w:val="Text14"/>
                  <w:enabled/>
                  <w:calcOnExit w:val="0"/>
                  <w:textInput>
                    <w:default w:val="[describe the incident]"/>
                  </w:textInput>
                </w:ffData>
              </w:fldChar>
            </w:r>
            <w:r>
              <w:rPr>
                <w:i/>
                <w:iCs/>
              </w:rPr>
              <w:instrText xml:space="preserve"> FORMTEXT </w:instrText>
            </w:r>
            <w:r>
              <w:rPr>
                <w:i/>
                <w:iCs/>
              </w:rPr>
            </w:r>
            <w:r>
              <w:rPr>
                <w:i/>
                <w:iCs/>
              </w:rPr>
              <w:fldChar w:fldCharType="separate"/>
            </w:r>
            <w:r>
              <w:rPr>
                <w:i/>
                <w:iCs/>
                <w:noProof/>
              </w:rPr>
              <w:t>[describe the incident]</w:t>
            </w:r>
            <w:r>
              <w:rPr>
                <w:i/>
                <w:iCs/>
              </w:rPr>
              <w:fldChar w:fldCharType="end"/>
            </w:r>
            <w:bookmarkEnd w:id="24"/>
          </w:p>
        </w:tc>
      </w:tr>
    </w:tbl>
    <w:p w:rsidR="004E6C38" w:rsidRDefault="004E6C38">
      <w:pPr>
        <w:rPr>
          <w:sz w:val="2"/>
          <w:szCs w:val="2"/>
        </w:rPr>
      </w:pPr>
    </w:p>
    <w:p w:rsidR="00994945" w:rsidRDefault="00994945" w:rsidP="00F56B60">
      <w:pPr>
        <w:pStyle w:val="Heading1"/>
        <w:keepNext/>
        <w:keepLines/>
        <w:numPr>
          <w:ilvl w:val="12"/>
          <w:numId w:val="0"/>
        </w:numPr>
        <w:jc w:val="center"/>
      </w:pPr>
    </w:p>
    <w:sectPr w:rsidR="00994945" w:rsidSect="000F6C1B">
      <w:footerReference w:type="default" r:id="rId14"/>
      <w:type w:val="continuous"/>
      <w:pgSz w:w="12240" w:h="15840"/>
      <w:pgMar w:top="72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45" w:rsidRDefault="00994945">
      <w:r>
        <w:separator/>
      </w:r>
    </w:p>
  </w:endnote>
  <w:endnote w:type="continuationSeparator" w:id="0">
    <w:p w:rsidR="00994945" w:rsidRDefault="0099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03" w:rsidRDefault="00AD51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38" w:rsidRDefault="004E6C38" w:rsidP="00A2383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103">
      <w:rPr>
        <w:rStyle w:val="PageNumber"/>
        <w:noProof/>
      </w:rPr>
      <w:t>6</w:t>
    </w:r>
    <w:r>
      <w:rPr>
        <w:rStyle w:val="PageNumber"/>
      </w:rPr>
      <w:fldChar w:fldCharType="end"/>
    </w:r>
  </w:p>
  <w:p w:rsidR="004E6C38" w:rsidRDefault="004E6C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03" w:rsidRDefault="00AD510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642" w:rsidRDefault="00464D9E">
    <w:pPr>
      <w:pStyle w:val="Footer"/>
      <w:tabs>
        <w:tab w:val="clear" w:pos="4320"/>
        <w:tab w:val="clear" w:pos="8640"/>
        <w:tab w:val="center" w:pos="4770"/>
        <w:tab w:val="right" w:pos="9450"/>
      </w:tabs>
      <w:rPr>
        <w:sz w:val="20"/>
        <w:szCs w:val="20"/>
      </w:rPr>
    </w:pPr>
    <w:r>
      <w:rPr>
        <w:sz w:val="20"/>
        <w:szCs w:val="20"/>
      </w:rPr>
      <w:t>WSD12-18</w:t>
    </w:r>
    <w:r w:rsidR="000F7642">
      <w:rPr>
        <w:sz w:val="20"/>
        <w:szCs w:val="20"/>
      </w:rPr>
      <w:tab/>
      <w:t>Page 1 of 1</w:t>
    </w:r>
    <w:r w:rsidR="000F7642">
      <w:rPr>
        <w:sz w:val="20"/>
        <w:szCs w:val="20"/>
      </w:rPr>
      <w:tab/>
    </w:r>
    <w:bookmarkStart w:id="25" w:name="_GoBack"/>
    <w:bookmarkEnd w:id="25"/>
    <w:r w:rsidR="00AD5103">
      <w:rPr>
        <w:sz w:val="20"/>
        <w:szCs w:val="20"/>
      </w:rPr>
      <w:t>6/13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45" w:rsidRDefault="00994945">
      <w:r>
        <w:separator/>
      </w:r>
    </w:p>
  </w:footnote>
  <w:footnote w:type="continuationSeparator" w:id="0">
    <w:p w:rsidR="00994945" w:rsidRDefault="00994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03" w:rsidRDefault="00AD51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03" w:rsidRDefault="00AD51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03" w:rsidRDefault="00AD51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4A4E20"/>
    <w:lvl w:ilvl="0">
      <w:numFmt w:val="bullet"/>
      <w:lvlText w:val="*"/>
      <w:lvlJc w:val="left"/>
    </w:lvl>
  </w:abstractNum>
  <w:abstractNum w:abstractNumId="1" w15:restartNumberingAfterBreak="0">
    <w:nsid w:val="13A136BA"/>
    <w:multiLevelType w:val="hybridMultilevel"/>
    <w:tmpl w:val="A88EB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A656B2"/>
    <w:multiLevelType w:val="multilevel"/>
    <w:tmpl w:val="8E2A6B2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29025A0"/>
    <w:multiLevelType w:val="multilevel"/>
    <w:tmpl w:val="7B4A56C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37E75856"/>
    <w:multiLevelType w:val="multilevel"/>
    <w:tmpl w:val="7B4A56C6"/>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417F62BA"/>
    <w:multiLevelType w:val="multilevel"/>
    <w:tmpl w:val="8E2A6B2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60"/>
    <w:rsid w:val="000E0012"/>
    <w:rsid w:val="000F6C1B"/>
    <w:rsid w:val="000F7642"/>
    <w:rsid w:val="00183456"/>
    <w:rsid w:val="0026775D"/>
    <w:rsid w:val="002D3A07"/>
    <w:rsid w:val="00387D86"/>
    <w:rsid w:val="00452BD1"/>
    <w:rsid w:val="00464D9E"/>
    <w:rsid w:val="00486E23"/>
    <w:rsid w:val="004E6C38"/>
    <w:rsid w:val="005A1E88"/>
    <w:rsid w:val="005E7808"/>
    <w:rsid w:val="00693B0C"/>
    <w:rsid w:val="006B38B5"/>
    <w:rsid w:val="00700872"/>
    <w:rsid w:val="00710799"/>
    <w:rsid w:val="00797000"/>
    <w:rsid w:val="008629CE"/>
    <w:rsid w:val="008C380A"/>
    <w:rsid w:val="008D3A4C"/>
    <w:rsid w:val="00994945"/>
    <w:rsid w:val="00A23832"/>
    <w:rsid w:val="00A41E2E"/>
    <w:rsid w:val="00AA015B"/>
    <w:rsid w:val="00AD5103"/>
    <w:rsid w:val="00B34AEC"/>
    <w:rsid w:val="00B5135F"/>
    <w:rsid w:val="00C5382B"/>
    <w:rsid w:val="00C62FD7"/>
    <w:rsid w:val="00C86C22"/>
    <w:rsid w:val="00CB4D1B"/>
    <w:rsid w:val="00D337DF"/>
    <w:rsid w:val="00E04461"/>
    <w:rsid w:val="00F23C79"/>
    <w:rsid w:val="00F5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44868"/>
  <w14:defaultImageDpi w14:val="0"/>
  <w15:docId w15:val="{453C4DA3-070A-4B78-9042-09CFB27F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0">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0">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0">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0">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0">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0">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0">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0">
    <w:name w:val="Level 9"/>
    <w:uiPriority w:val="99"/>
    <w:pPr>
      <w:widowControl w:val="0"/>
      <w:autoSpaceDE w:val="0"/>
      <w:autoSpaceDN w:val="0"/>
      <w:adjustRightInd w:val="0"/>
      <w:spacing w:after="0" w:line="240" w:lineRule="auto"/>
      <w:ind w:left="6480"/>
      <w:jc w:val="both"/>
    </w:pPr>
    <w:rPr>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rPr>
      <w:sz w:val="20"/>
      <w:szCs w:val="20"/>
    </w:rPr>
  </w:style>
  <w:style w:type="character" w:customStyle="1" w:styleId="SYSHYPERTEXT">
    <w:name w:val="SYS_HYPERTEXT"/>
    <w:uiPriority w:val="99"/>
    <w:rPr>
      <w:color w:val="0000FF"/>
      <w:u w:val="single"/>
    </w:rPr>
  </w:style>
  <w:style w:type="character" w:styleId="PageNumber">
    <w:name w:val="page number"/>
    <w:basedOn w:val="DefaultParagraphFont"/>
    <w:uiPriority w:val="99"/>
    <w:rsid w:val="004E6C38"/>
  </w:style>
  <w:style w:type="paragraph" w:styleId="ListParagraph">
    <w:name w:val="List Paragraph"/>
    <w:basedOn w:val="Normal"/>
    <w:uiPriority w:val="34"/>
    <w:qFormat/>
    <w:rsid w:val="00797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ig.dol.gov/hotnet1.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2187</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fwiad02-3.doc</vt:lpstr>
    </vt:vector>
  </TitlesOfParts>
  <Company>Thatch</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fwiad02-3.doc</dc:title>
  <dc:subject/>
  <dc:creator>EDD/WID</dc:creator>
  <cp:keywords/>
  <dc:description/>
  <cp:lastModifiedBy>Rachel J. Sattel</cp:lastModifiedBy>
  <cp:revision>6</cp:revision>
  <cp:lastPrinted>2006-12-29T00:19:00Z</cp:lastPrinted>
  <dcterms:created xsi:type="dcterms:W3CDTF">2017-11-08T16:26:00Z</dcterms:created>
  <dcterms:modified xsi:type="dcterms:W3CDTF">2017-11-08T16:53:00Z</dcterms:modified>
</cp:coreProperties>
</file>